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质量控制：材料进场验收与旁站监理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进度控制：总控计划动态纠偏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1　施工现场全景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现场主体结构已施工至十层，安全防护与绿色施工措施同步落实。</w:t>
      </w:r>
    </w:p>
    <w:p>
      <w:r>
        <w:drawing>
          <wp:inline xmlns:a="http://schemas.openxmlformats.org/drawingml/2006/main" xmlns:pic="http://schemas.openxmlformats.org/drawingml/2006/picture">
            <wp:extent cx="4680000" cy="2054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2　质量控制验收程序流程图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质量控制执行报验制与旁站制，不合格项限期整改后重新报验，合格后方可进入下道工序。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国家和地方有关工程建设的法律、法规与规章；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《建设工程监理规范》GB/T 50319-2013。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3　现场水准测量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现场监理人员正在开展水准测量放线复核，实测实量数据同步录入监理台账。</w:t>
      </w:r>
    </w:p>
    <w:p>
      <w:r>
        <w:drawing>
          <wp:inline xmlns:a="http://schemas.openxmlformats.org/drawingml/2006/main" xmlns:pic="http://schemas.openxmlformats.org/drawingml/2006/picture">
            <wp:extent cx="4680000" cy="15409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4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4　监理工作程序流程图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项目监理机构按照既定工作程序有序推进三控两管一协调，竣工验收合格后签发工程移交证书。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全站仪、水准仪、回弹仪等常规检测仪器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4150"/>
          </w:tcPr>
          <w:p>
            <w:r/>
            <w:r>
              <w:rPr>
                <w:rFonts w:ascii="Times New Roman" w:hAnsi="Times New Roman" w:eastAsia="宋体"/>
                <w:sz w:val="21"/>
              </w:rPr>
              <w:t>监理信息化管理平台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5　监理例会图纸会审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监理例会与图纸会审制度保障参建各方信息畅通，重大问题及时协调解决。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