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sectPr>
          <w:footerReference w:type="default" r:id="rId14"/>
          <w:headerReference w:type="default" r:id="rId15"/>
          <w:pgSz w:w="11906" w:h="16838"/>
          <w:pgMar w:top="1440" w:right="1803" w:bottom="1440" w:left="1803" w:header="720" w:footer="720" w:gutter="0"/>
          <w:cols w:space="720"/>
          <w:docGrid w:linePitch="360"/>
        </w:sectPr>
      </w:pP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1　序号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控制目标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关键线路周报纠偏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1　施工现场全景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现场主体结构已施工至十层，安全防护与绿色施工措施同步落实。</w:t>
      </w:r>
    </w:p>
    <w:p>
      <w:r>
        <w:drawing>
          <wp:inline xmlns:a="http://schemas.openxmlformats.org/drawingml/2006/main" xmlns:pic="http://schemas.openxmlformats.org/drawingml/2006/picture">
            <wp:extent cx="4680000" cy="2054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2　质量控制验收程序流程图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质量控制执行报验制与旁站制，不合格项限期整改后重新报验，合格后方可进入下道工序。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r>
        <w:drawing>
          <wp:inline xmlns:a="http://schemas.openxmlformats.org/drawingml/2006/main" xmlns:pic="http://schemas.openxmlformats.org/drawingml/2006/picture">
            <wp:extent cx="4680000" cy="263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3　现场水准测量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现场监理人员正在开展水准测量放线复核，实测实量数据同步录入监理台账。</w:t>
      </w:r>
    </w:p>
    <w:p>
      <w:r>
        <w:drawing>
          <wp:inline xmlns:a="http://schemas.openxmlformats.org/drawingml/2006/main" xmlns:pic="http://schemas.openxmlformats.org/drawingml/2006/picture">
            <wp:extent cx="4680000" cy="1540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4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4　监理工作程序流程图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项目监理机构按照既定工作程序有序推进三控两管一协调，竣工验收合格后签发工程移交证书。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2　岗位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岗位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人数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r>
        <w:drawing>
          <wp:inline xmlns:a="http://schemas.openxmlformats.org/drawingml/2006/main" xmlns:pic="http://schemas.openxmlformats.org/drawingml/2006/picture">
            <wp:extent cx="4680000" cy="2633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5　监理例会图纸会审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监理例会与图纸会审制度保障参建各方信息畅通，重大问题及时协调解决。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宋体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