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417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73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水准测量放线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7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73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图纸会审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7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图1-2　现场水准测量放线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图1-3　监理例会图纸会审</w:t>
            </w:r>
          </w:p>
        </w:tc>
      </w:tr>
    </w:tbl>
    <w:p>
      <w:pPr>
        <w:jc w:val="both"/>
      </w:pPr>
      <w:r>
        <w:rPr>
          <w:rFonts w:ascii="Times New Roman" w:hAnsi="Times New Roman" w:eastAsia="仿宋"/>
          <w:sz w:val="24"/>
        </w:rPr>
        <w:t>现场水准测量放线与监理例会图纸会审工作对照如下，实测实量数据实时录入监理台账。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质量控制执行报验制与旁站制，不合格项限期整改后重新报验，合格后方可进入下道工序。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417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项目监理机构按照既定工作程序有序推进三控两管一协调，竣工验收合格后签发工程移交证书。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417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p>
      <w:pPr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2"/>
      <w:headerReference w:type="default" r:id="rId13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