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spacing w:before="1600"/>
        <w:jc w:val="center"/>
        <w:shd w:val="clear" w:color="auto" w:fill="1B2C52"/>
      </w:pPr>
      <w:r>
        <w:rPr>
          <w:rFonts w:ascii="Times New Roman" w:hAnsi="Times New Roman" w:eastAsia="黑体"/>
          <w:b/>
          <w:color w:val="FFFFFF"/>
          <w:sz w:val="72"/>
        </w:rPr>
        <w:t>投标技术标（监理大纲）</w:t>
      </w:r>
    </w:p>
    <w:p>
      <w:pPr>
        <w:jc w:val="center"/>
        <w:shd w:val="clear" w:color="auto" w:fill="1B2C52"/>
      </w:pPr>
      <w:r>
        <w:rPr>
          <w:rFonts w:ascii="Times New Roman" w:hAnsi="Times New Roman" w:eastAsia="黑体"/>
          <w:b/>
          <w:color w:val="FFFFFF"/>
          <w:sz w:val="44"/>
        </w:rPr>
        <w:t>预览项目</w:t>
      </w:r>
    </w:p>
    <w:p>
      <w:pPr>
        <w:jc w:val="center"/>
        <w:shd w:val="clear" w:color="auto" w:fill="1B2C52"/>
      </w:pPr>
      <w:r>
        <w:rPr>
          <w:rFonts w:ascii="Times New Roman" w:hAnsi="Times New Roman" w:eastAsia="黑体"/>
          <w:b w:val="0"/>
          <w:color w:val="FFFFFF"/>
          <w:sz w:val="28"/>
        </w:rPr>
        <w:t>预览企业</w:t>
      </w:r>
    </w:p>
    <w:p>
      <w:r>
        <w:br w:type="page"/>
      </w:r>
    </w:p>
    <w:p>
      <w:pPr>
        <w:jc w:val="center"/>
      </w:pPr>
      <w:r>
        <w:rPr>
          <w:rFonts w:ascii="Times New Roman" w:hAnsi="Times New Roman" w:eastAsia="黑体"/>
          <w:b/>
          <w:sz w:val="32"/>
        </w:rPr>
        <w:t>目　录</w:t>
      </w:r>
    </w:p>
    <w:p>
      <w:r>
        <w:fldChar w:fldCharType="begin"/>
        <w:instrText xml:space="preserve">TOC \o "1-4" \h  \u</w:instrText>
        <w:fldChar w:fldCharType="separate"/>
      </w:r>
      <w:r>
        <w:rPr>
          <w:sz w:val="24"/>
        </w:rPr>
        <w:t>TOC 目录（打开文档后按 F9 或 Ctrl+A → F9 更新）</w:t>
      </w:r>
      <w:r>
        <w:fldChar w:fldCharType="end"/>
      </w:r>
    </w:p>
    <w:p>
      <w:r>
        <w:br w:type="page"/>
      </w:r>
    </w:p>
    <w:p>
      <w:pPr>
        <w:pageBreakBefore/>
        <w:spacing w:after="200"/>
        <w:outlineLvl w:val="0"/>
      </w:pPr>
      <w:r>
        <w:rPr>
          <w:rFonts w:ascii="Times New Roman" w:hAnsi="Times New Roman" w:eastAsia="黑体"/>
          <w:b/>
          <w:color w:val="1B2C52"/>
          <w:sz w:val="32"/>
        </w:rPr>
        <w:t>第一章 工程概况与监理工作范围</w:t>
      </w:r>
    </w:p>
    <w:p>
      <w:pPr>
        <w:keepNext/>
        <w:spacing w:before="120" w:after="80" w:line="288" w:lineRule="auto"/>
        <w:pBdr>
          <w:bottom w:val="single" w:sz="6" w:color="243B6B"/>
        </w:pBdr>
        <w:outlineLvl w:val="0"/>
      </w:pPr>
      <w:r>
        <w:rPr>
          <w:rFonts w:ascii="Times New Roman" w:hAnsi="Times New Roman" w:eastAsia="黑体"/>
          <w:b w:val="0"/>
          <w:color w:val="1B2C52"/>
          <w:sz w:val="24"/>
        </w:rPr>
        <w:t>一、工程概况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sz w:val="24"/>
        </w:rPr>
        <w:t>预览项目为框架剪力墙结构公共建筑，总建筑面积约 8.6 万平方米，地上十层、地下两层。</w:t>
      </w:r>
    </w:p>
    <w:p>
      <w:pPr>
        <w:keepNext/>
        <w:spacing w:before="120" w:after="80" w:line="288" w:lineRule="auto"/>
        <w:pBdr>
          <w:bottom w:val="single" w:sz="6" w:color="243B6B"/>
        </w:pBdr>
        <w:outlineLvl w:val="1"/>
      </w:pPr>
      <w:r>
        <w:rPr>
          <w:rFonts w:ascii="Times New Roman" w:hAnsi="Times New Roman" w:eastAsia="黑体"/>
          <w:b w:val="0"/>
          <w:color w:val="1B2C52"/>
          <w:sz w:val="24"/>
        </w:rPr>
        <w:t>（一）项目理解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sz w:val="24"/>
        </w:rPr>
        <w:t>本项目监理工作覆盖质量、进度、投资、安全环保与合同信息管理五大目标。</w:t>
      </w:r>
    </w:p>
    <w:p>
      <w:pPr>
        <w:pStyle w:val="ListParagraph"/>
        <w:spacing w:line="384" w:lineRule="auto" w:after="60"/>
        <w:ind w:left="480"/>
      </w:pPr>
      <w:r>
        <w:rPr>
          <w:rFonts w:ascii="Times New Roman" w:hAnsi="Times New Roman" w:eastAsia="仿宋"/>
          <w:sz w:val="24"/>
        </w:rPr>
        <w:t>质量控制：材料进场验收与旁站监理</w:t>
      </w:r>
    </w:p>
    <w:p>
      <w:pPr>
        <w:pStyle w:val="ListParagraph"/>
        <w:spacing w:line="384" w:lineRule="auto" w:after="60"/>
        <w:ind w:left="480"/>
      </w:pPr>
      <w:r>
        <w:rPr>
          <w:rFonts w:ascii="Times New Roman" w:hAnsi="Times New Roman" w:eastAsia="仿宋"/>
          <w:sz w:val="24"/>
        </w:rPr>
        <w:t>进度控制：总控计划动态纠偏</w:t>
      </w:r>
    </w:p>
    <w:p>
      <w:pPr>
        <w:spacing w:before="120" w:after="40"/>
        <w:jc w:val="center"/>
      </w:pPr>
      <w:r>
        <w:rPr>
          <w:rFonts w:ascii="Times New Roman" w:hAnsi="Times New Roman" w:eastAsia="仿宋"/>
          <w:sz w:val="18"/>
        </w:rPr>
        <w:t>表1-1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color="B7B7B7"/>
          <w:bottom w:val="single" w:sz="6" w:color="B7B7B7"/>
          <w:left w:val="none" w:sz="0" w:color="B7B7B7"/>
          <w:right w:val="none" w:sz="0" w:color="B7B7B7"/>
          <w:insideV w:val="none" w:sz="0" w:color="B7B7B7"/>
          <w:insideH w:val="single" w:sz="2" w:color="B7B7B7"/>
        </w:tblBorders>
      </w:tblPr>
      <w:tblGrid>
        <w:gridCol w:w="2767"/>
        <w:gridCol w:w="2767"/>
        <w:gridCol w:w="2767"/>
      </w:tblGrid>
      <w:tr>
        <w:tc>
          <w:tcPr>
            <w:tcW w:type="dxa" w:w="2767"/>
          </w:tcPr>
          <w:p>
            <w:r/>
            <w:r>
              <w:rPr>
                <w:rFonts w:ascii="Times New Roman" w:hAnsi="Times New Roman" w:eastAsia="仿宋"/>
                <w:b/>
                <w:sz w:val="21"/>
              </w:rPr>
              <w:t>序号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仿宋"/>
                <w:b/>
                <w:sz w:val="21"/>
              </w:rPr>
              <w:t>控制目标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仿宋"/>
                <w:b/>
                <w:sz w:val="21"/>
              </w:rPr>
              <w:t>主要措施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Times New Roman" w:hAnsi="Times New Roman" w:eastAsia="仿宋"/>
                <w:sz w:val="21"/>
              </w:rPr>
              <w:t>1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仿宋"/>
                <w:sz w:val="21"/>
              </w:rPr>
              <w:t>质量目标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仿宋"/>
                <w:sz w:val="21"/>
              </w:rPr>
              <w:t>三检制、样板引路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Times New Roman" w:hAnsi="Times New Roman" w:eastAsia="仿宋"/>
                <w:sz w:val="21"/>
              </w:rPr>
              <w:t>2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仿宋"/>
                <w:sz w:val="21"/>
              </w:rPr>
              <w:t>进度目标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仿宋"/>
                <w:sz w:val="21"/>
              </w:rPr>
              <w:t>关键线路周报纠偏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40000" cy="18229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样张_施工现场全景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18229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  <w:jc w:val="center"/>
      </w:pPr>
      <w:r>
        <w:rPr>
          <w:rFonts w:ascii="Times New Roman" w:hAnsi="Times New Roman" w:eastAsia="仿宋"/>
          <w:sz w:val="18"/>
        </w:rPr>
        <w:t>图1-1　施工现场全景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40000" cy="142243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样张_质量控制程序流程图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1422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  <w:jc w:val="center"/>
      </w:pPr>
      <w:r>
        <w:rPr>
          <w:rFonts w:ascii="Times New Roman" w:hAnsi="Times New Roman" w:eastAsia="仿宋"/>
          <w:sz w:val="18"/>
        </w:rPr>
        <w:t>图1-2　质量控制验收程序流程图</w:t>
      </w:r>
    </w:p>
    <w:p>
      <w:pPr>
        <w:keepNext/>
        <w:spacing w:before="60" w:after="40" w:line="288" w:lineRule="auto"/>
        <w:pBdr>
          <w:bottom w:val="single" w:sz="6" w:color="243B6B"/>
        </w:pBdr>
        <w:outlineLvl w:val="2"/>
      </w:pPr>
      <w:r>
        <w:rPr>
          <w:rFonts w:ascii="Times New Roman" w:hAnsi="Times New Roman" w:eastAsia="黑体"/>
          <w:b w:val="0"/>
          <w:color w:val="1B2C52"/>
          <w:sz w:val="24"/>
        </w:rPr>
        <w:t>1. 监理工作范围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sz w:val="24"/>
        </w:rPr>
        <w:t>施工阶段监理，含土建、安装、装饰、智能化、室外工程等全部专业。</w:t>
      </w:r>
    </w:p>
    <w:p>
      <w:pPr>
        <w:pageBreakBefore/>
        <w:spacing w:after="200"/>
        <w:outlineLvl w:val="0"/>
      </w:pPr>
      <w:r>
        <w:rPr>
          <w:rFonts w:ascii="Times New Roman" w:hAnsi="Times New Roman" w:eastAsia="黑体"/>
          <w:b/>
          <w:color w:val="1B2C52"/>
          <w:sz w:val="32"/>
        </w:rPr>
        <w:t>第二章 监理工作依据、目标与内容</w:t>
      </w:r>
    </w:p>
    <w:p>
      <w:pPr>
        <w:keepNext/>
        <w:spacing w:before="120" w:after="80" w:line="288" w:lineRule="auto"/>
        <w:pBdr>
          <w:bottom w:val="single" w:sz="6" w:color="243B6B"/>
        </w:pBdr>
        <w:outlineLvl w:val="0"/>
      </w:pPr>
      <w:r>
        <w:rPr>
          <w:rFonts w:ascii="Times New Roman" w:hAnsi="Times New Roman" w:eastAsia="黑体"/>
          <w:b w:val="0"/>
          <w:color w:val="1B2C52"/>
          <w:sz w:val="24"/>
        </w:rPr>
        <w:t>一、监理工作依据</w:t>
      </w:r>
    </w:p>
    <w:p>
      <w:pPr>
        <w:pStyle w:val="ListParagraph"/>
        <w:spacing w:line="384" w:lineRule="auto" w:after="60"/>
        <w:ind w:left="480"/>
      </w:pPr>
      <w:r>
        <w:rPr>
          <w:rFonts w:ascii="Times New Roman" w:hAnsi="Times New Roman" w:eastAsia="仿宋"/>
          <w:sz w:val="24"/>
        </w:rPr>
        <w:t>国家和地方有关工程建设的法律、法规与规章；</w:t>
      </w:r>
    </w:p>
    <w:p>
      <w:pPr>
        <w:pStyle w:val="ListParagraph"/>
        <w:spacing w:line="384" w:lineRule="auto" w:after="60"/>
        <w:ind w:left="480"/>
      </w:pPr>
      <w:r>
        <w:rPr>
          <w:rFonts w:ascii="Times New Roman" w:hAnsi="Times New Roman" w:eastAsia="仿宋"/>
          <w:sz w:val="24"/>
        </w:rPr>
        <w:t>《建设工程监理规范》GB/T 50319-2013。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40000" cy="182294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样张_水准测量放线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18229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  <w:jc w:val="center"/>
      </w:pPr>
      <w:r>
        <w:rPr>
          <w:rFonts w:ascii="Times New Roman" w:hAnsi="Times New Roman" w:eastAsia="仿宋"/>
          <w:sz w:val="18"/>
        </w:rPr>
        <w:t>图2-1　现场水准测量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40000" cy="106682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样张_监理工作程序流程图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10668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  <w:jc w:val="center"/>
      </w:pPr>
      <w:r>
        <w:rPr>
          <w:rFonts w:ascii="Times New Roman" w:hAnsi="Times New Roman" w:eastAsia="仿宋"/>
          <w:sz w:val="18"/>
        </w:rPr>
        <w:t>图2-2　监理工作程序流程图</w:t>
      </w:r>
    </w:p>
    <w:p>
      <w:pPr>
        <w:keepNext/>
        <w:spacing w:before="120" w:after="80" w:line="288" w:lineRule="auto"/>
        <w:pBdr>
          <w:bottom w:val="single" w:sz="6" w:color="243B6B"/>
        </w:pBdr>
        <w:outlineLvl w:val="1"/>
      </w:pPr>
      <w:r>
        <w:rPr>
          <w:rFonts w:ascii="Times New Roman" w:hAnsi="Times New Roman" w:eastAsia="黑体"/>
          <w:b w:val="0"/>
          <w:color w:val="1B2C52"/>
          <w:sz w:val="24"/>
        </w:rPr>
        <w:t>（一）监理工作目标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sz w:val="24"/>
        </w:rPr>
        <w:t>质量达到一次性验收合格标准；进度满足合同节点要求；投资控制在批准概算内。</w:t>
      </w:r>
    </w:p>
    <w:p>
      <w:pPr>
        <w:keepNext/>
        <w:spacing w:before="60" w:after="40" w:line="288" w:lineRule="auto"/>
        <w:pBdr>
          <w:bottom w:val="single" w:sz="6" w:color="243B6B"/>
        </w:pBdr>
        <w:outlineLvl w:val="2"/>
      </w:pPr>
      <w:r>
        <w:rPr>
          <w:rFonts w:ascii="Times New Roman" w:hAnsi="Times New Roman" w:eastAsia="黑体"/>
          <w:b w:val="0"/>
          <w:color w:val="1B2C52"/>
          <w:sz w:val="24"/>
        </w:rPr>
        <w:t>1. 监理工作制度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sz w:val="24"/>
        </w:rPr>
        <w:t>建立监理例会、旁站监理、见证取样、巡视检查、资料管理制度。</w:t>
      </w:r>
    </w:p>
    <w:p>
      <w:pPr>
        <w:pageBreakBefore/>
        <w:spacing w:after="200"/>
        <w:outlineLvl w:val="0"/>
      </w:pPr>
      <w:r>
        <w:rPr>
          <w:rFonts w:ascii="Times New Roman" w:hAnsi="Times New Roman" w:eastAsia="黑体"/>
          <w:b/>
          <w:color w:val="1B2C52"/>
          <w:sz w:val="32"/>
        </w:rPr>
        <w:t>第三章 项目监理机构及人员配备</w:t>
      </w:r>
    </w:p>
    <w:p>
      <w:pPr>
        <w:keepNext/>
        <w:spacing w:before="120" w:after="80" w:line="288" w:lineRule="auto"/>
        <w:pBdr>
          <w:bottom w:val="single" w:sz="6" w:color="243B6B"/>
        </w:pBdr>
        <w:outlineLvl w:val="0"/>
      </w:pPr>
      <w:r>
        <w:rPr>
          <w:rFonts w:ascii="Times New Roman" w:hAnsi="Times New Roman" w:eastAsia="黑体"/>
          <w:b w:val="0"/>
          <w:color w:val="1B2C52"/>
          <w:sz w:val="24"/>
        </w:rPr>
        <w:t>一、项目监理机构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sz w:val="24"/>
        </w:rPr>
        <w:t>实行总监理工程师负责制，设总监理工程师 1 名、专业监理工程师 5 名、监理员 4 名。</w:t>
      </w:r>
    </w:p>
    <w:p>
      <w:pPr>
        <w:keepNext/>
        <w:spacing w:before="120" w:after="80" w:line="288" w:lineRule="auto"/>
        <w:pBdr>
          <w:bottom w:val="single" w:sz="6" w:color="243B6B"/>
        </w:pBdr>
        <w:outlineLvl w:val="1"/>
      </w:pPr>
      <w:r>
        <w:rPr>
          <w:rFonts w:ascii="Times New Roman" w:hAnsi="Times New Roman" w:eastAsia="黑体"/>
          <w:b w:val="0"/>
          <w:color w:val="1B2C52"/>
          <w:sz w:val="24"/>
        </w:rPr>
        <w:t>（一）人员配备</w:t>
      </w:r>
    </w:p>
    <w:p>
      <w:pPr>
        <w:spacing w:before="120" w:after="40"/>
        <w:jc w:val="center"/>
      </w:pPr>
      <w:r>
        <w:rPr>
          <w:rFonts w:ascii="Times New Roman" w:hAnsi="Times New Roman" w:eastAsia="仿宋"/>
          <w:sz w:val="18"/>
        </w:rPr>
        <w:t>表3-1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color="B7B7B7"/>
          <w:bottom w:val="single" w:sz="6" w:color="B7B7B7"/>
          <w:left w:val="none" w:sz="0" w:color="B7B7B7"/>
          <w:right w:val="none" w:sz="0" w:color="B7B7B7"/>
          <w:insideV w:val="none" w:sz="0" w:color="B7B7B7"/>
          <w:insideH w:val="single" w:sz="2" w:color="B7B7B7"/>
        </w:tblBorders>
      </w:tblPr>
      <w:tblGrid>
        <w:gridCol w:w="2767"/>
        <w:gridCol w:w="2767"/>
        <w:gridCol w:w="2767"/>
      </w:tblGrid>
      <w:tr>
        <w:tc>
          <w:tcPr>
            <w:tcW w:type="dxa" w:w="2767"/>
          </w:tcPr>
          <w:p>
            <w:r/>
            <w:r>
              <w:rPr>
                <w:rFonts w:ascii="Times New Roman" w:hAnsi="Times New Roman" w:eastAsia="仿宋"/>
                <w:b/>
                <w:sz w:val="21"/>
              </w:rPr>
              <w:t>岗位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仿宋"/>
                <w:b/>
                <w:sz w:val="21"/>
              </w:rPr>
              <w:t>人数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仿宋"/>
                <w:b/>
                <w:sz w:val="21"/>
              </w:rPr>
              <w:t>资格要求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Times New Roman" w:hAnsi="Times New Roman" w:eastAsia="仿宋"/>
                <w:sz w:val="21"/>
              </w:rPr>
              <w:t>总监理工程师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仿宋"/>
                <w:sz w:val="21"/>
              </w:rPr>
              <w:t>1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仿宋"/>
                <w:sz w:val="21"/>
              </w:rPr>
              <w:t>注册监理工程师、高级职称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Times New Roman" w:hAnsi="Times New Roman" w:eastAsia="仿宋"/>
                <w:sz w:val="21"/>
              </w:rPr>
              <w:t>专业监理工程师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仿宋"/>
                <w:sz w:val="21"/>
              </w:rPr>
              <w:t>5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仿宋"/>
                <w:sz w:val="21"/>
              </w:rPr>
              <w:t>中级及以上职称</w:t>
            </w:r>
          </w:p>
        </w:tc>
      </w:tr>
    </w:tbl>
    <w:p>
      <w:pPr>
        <w:keepNext/>
        <w:spacing w:before="60" w:after="40" w:line="288" w:lineRule="auto"/>
        <w:pBdr>
          <w:bottom w:val="single" w:sz="6" w:color="243B6B"/>
        </w:pBdr>
        <w:outlineLvl w:val="2"/>
      </w:pPr>
      <w:r>
        <w:rPr>
          <w:rFonts w:ascii="Times New Roman" w:hAnsi="Times New Roman" w:eastAsia="黑体"/>
          <w:b w:val="0"/>
          <w:color w:val="1B2C52"/>
          <w:sz w:val="24"/>
        </w:rPr>
        <w:t>1. 仪器设备配置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sz w:val="24"/>
        </w:rPr>
        <w:t>配备全站仪、水准仪、回弹仪等常规检测仪器及监理信息化管理平台。</w:t>
      </w:r>
    </w:p>
    <w:p>
      <w:pPr>
        <w:pStyle w:val="ListParagraph"/>
        <w:spacing w:line="384" w:lineRule="auto" w:after="60"/>
        <w:ind w:left="480"/>
      </w:pPr>
      <w:r>
        <w:rPr>
          <w:rFonts w:ascii="Times New Roman" w:hAnsi="Times New Roman" w:eastAsia="仿宋"/>
          <w:sz w:val="24"/>
        </w:rPr>
        <w:t>全站仪、水准仪、回弹仪等常规检测仪器</w:t>
      </w:r>
    </w:p>
    <w:p>
      <w:pPr>
        <w:pStyle w:val="ListParagraph"/>
        <w:spacing w:line="384" w:lineRule="auto" w:after="60"/>
        <w:ind w:left="480"/>
      </w:pPr>
      <w:r>
        <w:rPr>
          <w:rFonts w:ascii="Times New Roman" w:hAnsi="Times New Roman" w:eastAsia="仿宋"/>
          <w:sz w:val="24"/>
        </w:rPr>
        <w:t>监理信息化管理平台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40000" cy="182294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样张_图纸会审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18229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  <w:jc w:val="center"/>
      </w:pPr>
      <w:r>
        <w:rPr>
          <w:rFonts w:ascii="Times New Roman" w:hAnsi="Times New Roman" w:eastAsia="仿宋"/>
          <w:sz w:val="18"/>
        </w:rPr>
        <w:t>图3-1　监理例会图纸会审</w:t>
      </w:r>
    </w:p>
    <w:sectPr w:rsidR="00FC693F" w:rsidRPr="0006063C" w:rsidSect="00034616">
      <w:footerReference w:type="default" r:id="rId14"/>
      <w:headerReference w:type="default" r:id="rId15"/>
      <w:pgSz w:w="11906" w:h="16838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sz w:val="18"/>
      </w:rPr>
      <w:t xml:space="preserve"> - </w:t>
    </w:r>
    <w:r>
      <w:fldChar w:fldCharType="begin"/>
      <w:instrText xml:space="preserve">PAGE</w:instrText>
      <w:fldChar w:fldCharType="end"/>
    </w:r>
    <w:r>
      <w:rPr>
        <w:sz w:val="18"/>
      </w:rPr>
      <w:t xml:space="preserve"> - </w:t>
    </w:r>
    <w:r>
      <w:rPr>
        <w:rFonts w:ascii="Times New Roman" w:hAnsi="Times New Roman" w:eastAsia="宋体"/>
        <w:sz w:val="18"/>
      </w:rPr>
      <w:t xml:space="preserve"> -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4" w:color="808080"/>
      </w:pBdr>
    </w:pPr>
    <w:r>
      <w:rPr>
        <w:rFonts w:ascii="Times New Roman" w:hAnsi="Times New Roman" w:eastAsia="仿宋"/>
        <w:color w:val="1B2C52"/>
        <w:sz w:val="18"/>
      </w:rPr>
      <w:t>预览企业　|　投标技术标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png"/><Relationship Id="rId11" Type="http://schemas.openxmlformats.org/officeDocument/2006/relationships/image" Target="media/image3.jpg"/><Relationship Id="rId12" Type="http://schemas.openxmlformats.org/officeDocument/2006/relationships/image" Target="media/image4.png"/><Relationship Id="rId13" Type="http://schemas.openxmlformats.org/officeDocument/2006/relationships/image" Target="media/image5.jpg"/><Relationship Id="rId14" Type="http://schemas.openxmlformats.org/officeDocument/2006/relationships/footer" Target="footer1.xml"/><Relationship Id="rId15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