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before="1600"/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72"/>
        </w:rPr>
        <w:t>投标技术标（监理大纲）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44"/>
        </w:rPr>
        <w:t>预览项目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 w:val="0"/>
          <w:color w:val="FFFFFF"/>
          <w:sz w:val="28"/>
        </w:rPr>
        <w:t>预览企业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sz w:val="32"/>
        </w:rPr>
        <w:t>目　录</w:t>
      </w:r>
    </w:p>
    <w:p>
      <w:r>
        <w:fldChar w:fldCharType="begin"/>
        <w:instrText xml:space="preserve">TOC \o "1-4" \h  \u</w:instrText>
        <w:fldChar w:fldCharType="separate"/>
      </w:r>
      <w:r>
        <w:rPr>
          <w:sz w:val="24"/>
        </w:rPr>
        <w:t>TOC 目录（打开文档后按 F9 或 Ctrl+A → F9 更新）</w:t>
      </w:r>
      <w:r>
        <w:fldChar w:fldCharType="end"/>
      </w:r>
    </w:p>
    <w:p>
      <w:r>
        <w:br w:type="page"/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第一章 工程概况与监理工作范围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一、工程概况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预览项目为框架剪力墙结构公共建筑，总建筑面积约 8.6 万平方米，地上十层、地下两层。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（一）项目理解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本项目监理工作覆盖质量、进度、投资、安全环保与合同信息管理五大目标。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32"/>
        </w:rPr>
        <w:t>质量控制：材料进场验收与旁站监理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32"/>
        </w:rPr>
        <w:t>进度控制：总控计划动态纠偏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21"/>
        </w:rPr>
        <w:t>表1-1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4"/>
              </w:rPr>
              <w:t>序号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4"/>
              </w:rPr>
              <w:t>控制目标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4"/>
              </w:rPr>
              <w:t>主要措施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4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4"/>
              </w:rPr>
              <w:t>质量目标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4"/>
              </w:rPr>
              <w:t>三检制、样板引路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4"/>
              </w:rPr>
              <w:t>2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4"/>
              </w:rPr>
              <w:t>进度目标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4"/>
              </w:rPr>
              <w:t>关键线路周报纠偏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施工现场全景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21"/>
        </w:rPr>
        <w:t>图1-1　施工现场全景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4224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质量控制程序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422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21"/>
        </w:rPr>
        <w:t>图1-2　质量控制验收程序流程图</w:t>
      </w:r>
    </w:p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仿宋"/>
          <w:b w:val="0"/>
          <w:color w:val="1B2C52"/>
          <w:sz w:val="32"/>
        </w:rPr>
        <w:t>1. 监理工作范围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施工阶段监理，含土建、安装、装饰、智能化、室外工程等全部专业。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第二章 监理工作依据、目标与内容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一、监理工作依据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32"/>
        </w:rPr>
        <w:t>国家和地方有关工程建设的法律、法规与规章；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32"/>
        </w:rPr>
        <w:t>《建设工程监理规范》GB/T 50319-2013。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水准测量放线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21"/>
        </w:rPr>
        <w:t>图2-1　现场水准测量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0668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监理工作程序流程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66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21"/>
        </w:rPr>
        <w:t>图2-2　监理工作程序流程图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（一）监理工作目标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质量达到一次性验收合格标准；进度满足合同节点要求；投资控制在批准概算内。</w:t>
      </w:r>
    </w:p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仿宋"/>
          <w:b w:val="0"/>
          <w:color w:val="1B2C52"/>
          <w:sz w:val="32"/>
        </w:rPr>
        <w:t>1. 监理工作制度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建立监理例会、旁站监理、见证取样、巡视检查、资料管理制度。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第三章 项目监理机构及人员配备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一、项目监理机构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实行总监理工程师负责制，设总监理工程师 1 名、专业监理工程师 5 名、监理员 4 名。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（一）人员配备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21"/>
        </w:rPr>
        <w:t>表3-1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4"/>
              </w:rPr>
              <w:t>岗位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4"/>
              </w:rPr>
              <w:t>人数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4"/>
              </w:rPr>
              <w:t>资格要求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4"/>
              </w:rPr>
              <w:t>总监理工程师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4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4"/>
              </w:rPr>
              <w:t>注册监理工程师、高级职称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4"/>
              </w:rPr>
              <w:t>专业监理工程师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4"/>
              </w:rPr>
              <w:t>5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4"/>
              </w:rPr>
              <w:t>中级及以上职称</w:t>
            </w:r>
          </w:p>
        </w:tc>
      </w:tr>
    </w:tbl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仿宋"/>
          <w:b w:val="0"/>
          <w:color w:val="1B2C52"/>
          <w:sz w:val="32"/>
        </w:rPr>
        <w:t>1. 仪器设备配置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配备全站仪、水准仪、回弹仪等常规检测仪器及监理信息化管理平台。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32"/>
        </w:rPr>
        <w:t>全站仪、水准仪、回弹仪等常规检测仪器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32"/>
        </w:rPr>
        <w:t>监理信息化管理平台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图纸会审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21"/>
        </w:rPr>
        <w:t>图3-1　监理例会图纸会审</w:t>
      </w:r>
    </w:p>
    <w:sectPr w:rsidR="00FC693F" w:rsidRPr="0006063C" w:rsidSect="00034616">
      <w:footerReference w:type="default" r:id="rId14"/>
      <w:headerReference w:type="default" r:id="rId15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 - </w:t>
    </w:r>
    <w:r>
      <w:fldChar w:fldCharType="begin"/>
      <w:instrText xml:space="preserve">PAGE</w:instrText>
      <w:fldChar w:fldCharType="end"/>
    </w:r>
    <w:r>
      <w:rPr>
        <w:sz w:val="18"/>
      </w:rPr>
      <w:t xml:space="preserve"> - </w:t>
    </w:r>
    <w:r>
      <w:rPr>
        <w:rFonts w:ascii="Times New Roman" w:hAnsi="Times New Roman" w:eastAsia="宋体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808080"/>
      </w:pBdr>
    </w:pPr>
    <w:r>
      <w:rPr>
        <w:rFonts w:ascii="Times New Roman" w:hAnsi="Times New Roman" w:eastAsia="仿宋"/>
        <w:color w:val="1B2C52"/>
        <w:sz w:val="18"/>
      </w:rPr>
      <w:t>预览企业　|　投标技术标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footer" Target="footer1.xml"/><Relationship Id="rId1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