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2000"/>
        <w:jc w:val="right"/>
      </w:pPr>
      <w:r>
        <w:rPr>
          <w:rFonts w:ascii="Times New Roman" w:hAnsi="Times New Roman" w:eastAsia="黑体"/>
          <w:b/>
          <w:color w:val="1B2C52"/>
          <w:sz w:val="64"/>
        </w:rPr>
        <w:t>投标技术标（监理大纲）</w:t>
      </w:r>
    </w:p>
    <w:p>
      <w:pPr>
        <w:spacing w:before="320"/>
        <w:jc w:val="right"/>
      </w:pPr>
      <w:r>
        <w:rPr>
          <w:rFonts w:ascii="Times New Roman" w:hAnsi="Times New Roman" w:eastAsia="宋体"/>
          <w:b w:val="0"/>
          <w:color w:val="1B2C52"/>
          <w:sz w:val="40"/>
        </w:rPr>
        <w:t>预览项目</w:t>
      </w:r>
    </w:p>
    <w:p/>
    <w:p>
      <w:pPr>
        <w:spacing w:before="60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26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