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1600"/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72"/>
        </w:rPr>
        <w:t>投标技术标（监理大纲）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4"/>
        </w:rPr>
        <w:t>预览项目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 w:val="0"/>
          <w:color w:val="FFFFFF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"1-4" \h 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第一章 工程概况与监理工作范围</w:t>
      </w:r>
    </w:p>
    <w:p>
      <w:pPr>
        <w:keepNext/>
        <w:spacing w:before="120" w:after="80" w:line="288" w:lineRule="auto"/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■ 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■ 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本项目监理工作覆盖质量、进度、投资、安全环保与合同信息管理五大目标。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质量控制：材料进场验收与旁站监理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进度控制：总控计划动态纠偏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表1-1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序号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控制目标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关键线路周报纠偏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施工现场全景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图1-1　施工现场全景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4224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质量控制程序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22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图1-2　质量控制验收程序流程图</w:t>
      </w:r>
    </w:p>
    <w:p>
      <w:pPr>
        <w:keepNext/>
        <w:spacing w:before="60" w:after="40" w:line="288" w:lineRule="auto"/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施工阶段监理，含土建、安装、装饰、智能化、室外工程等全部专业。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第二章 监理工作依据、目标与内容</w:t>
      </w:r>
    </w:p>
    <w:p>
      <w:pPr>
        <w:keepNext/>
        <w:spacing w:before="120" w:after="80" w:line="288" w:lineRule="auto"/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■ 一、监理工作依据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国家和地方有关工程建设的法律、法规与规章；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《建设工程监理规范》GB/T 50319-2013。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水准测量放线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图2-1　现场水准测量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066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监理工作程序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66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图2-2　监理工作程序流程图</w:t>
      </w:r>
    </w:p>
    <w:p>
      <w:pPr>
        <w:keepNext/>
        <w:spacing w:before="120" w:after="80" w:line="288" w:lineRule="auto"/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■ 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建立监理例会、旁站监理、见证取样、巡视检查、资料管理制度。</w:t>
      </w:r>
    </w:p>
    <w:p>
      <w:pPr>
        <w:pageBreakBefore/>
        <w:spacing w:after="200"/>
        <w:outlineLvl w:val="0"/>
      </w:pPr>
      <w:r>
        <w:rPr>
          <w:rFonts w:ascii="Times New Roman" w:hAnsi="Times New Roman" w:eastAsia="黑体"/>
          <w:b/>
          <w:color w:val="1B2C52"/>
          <w:sz w:val="32"/>
        </w:rPr>
        <w:t>第三章 项目监理机构及人员配备</w:t>
      </w:r>
    </w:p>
    <w:p>
      <w:pPr>
        <w:keepNext/>
        <w:spacing w:before="120" w:after="80" w:line="288" w:lineRule="auto"/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■ 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■ 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表3-1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岗位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人数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配备全站仪、水准仪、回弹仪等常规检测仪器及监理信息化管理平台。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全站仪、水准仪、回弹仪等常规检测仪器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监理信息化管理平台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图纸会审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图3-1　监理例会图纸会审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 - </w:t>
    </w: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  <w:r>
      <w:rPr>
        <w:rFonts w:ascii="Times New Roman" w:hAnsi="Times New Roman" w:eastAsia="宋体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仿宋"/>
        <w:color w:val="1B2C52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