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before="1600"/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72"/>
        </w:rPr>
        <w:t>投标技术标（监理大纲）</w:t>
      </w:r>
    </w:p>
    <w:p>
      <w:pPr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44"/>
        </w:rPr>
        <w:t>预览项目</w:t>
      </w:r>
    </w:p>
    <w:p>
      <w:pPr>
        <w:jc w:val="center"/>
        <w:shd w:val="clear" w:color="auto" w:fill="1B2C52"/>
      </w:pPr>
      <w:r>
        <w:rPr>
          <w:rFonts w:ascii="Times New Roman" w:hAnsi="Times New Roman" w:eastAsia="黑体"/>
          <w:b w:val="0"/>
          <w:color w:val="FFFFFF"/>
          <w:sz w:val="28"/>
        </w:rPr>
        <w:t>预览企业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sz w:val="32"/>
        </w:rPr>
        <w:t>目　录</w:t>
      </w:r>
    </w:p>
    <w:p>
      <w:r>
        <w:fldChar w:fldCharType="begin"/>
        <w:instrText xml:space="preserve">TOC \o "1-4" \h  \u</w:instrText>
        <w:fldChar w:fldCharType="separate"/>
      </w:r>
      <w:r>
        <w:rPr>
          <w:sz w:val="24"/>
        </w:rPr>
        <w:t>TOC 目录（打开文档后按 F9 或 Ctrl+A → F9 更新）</w:t>
      </w:r>
      <w:r>
        <w:fldChar w:fldCharType="end"/>
      </w:r>
    </w:p>
    <w:p>
      <w:r>
        <w:br w:type="page"/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第一章 工程概况与监理工作范围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一、工程概况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预览项目为框架剪力墙结构公共建筑，总建筑面积约 8.6 万平方米，地上十层、地下两层。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（一）项目理解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本项目监理工作覆盖质量、进度、投资、安全环保与合同信息管理五大目标。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质量控制：材料进场验收与旁站监理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进度控制：总控计划动态纠偏</w:t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表1-1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序号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控制目标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主要措施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质量目标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三检制、样板引路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2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进度目标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关键线路周报纠偏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10127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施工现场全景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012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图1-1　施工现场全景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7902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质量控制程序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90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图1-2　质量控制验收程序流程图</w:t>
      </w:r>
    </w:p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监理工作范围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施工阶段监理，含土建、安装、装饰、智能化、室外工程等全部专业。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第二章 监理工作依据、目标与内容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一、监理工作依据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国家和地方有关工程建设的法律、法规与规章；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《建设工程监理规范》GB/T 50319-2013。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10127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水准测量放线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012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图2-1　现场水准测量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5926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监理工作程序流程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592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图2-2　监理工作程序流程图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（一）监理工作目标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质量达到一次性验收合格标准；进度满足合同节点要求；投资控制在批准概算内。</w:t>
      </w:r>
    </w:p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监理工作制度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建立监理例会、旁站监理、见证取样、巡视检查、资料管理制度。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第三章 项目监理机构及人员配备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一、项目监理机构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实行总监理工程师负责制，设总监理工程师 1 名、专业监理工程师 5 名、监理员 4 名。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（一）人员配备</w:t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表3-1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岗位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人数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资格要求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总监理工程师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注册监理工程师、高级职称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专业监理工程师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5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中级及以上职称</w:t>
            </w:r>
          </w:p>
        </w:tc>
      </w:tr>
    </w:tbl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仪器设备配置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配备全站仪、水准仪、回弹仪等常规检测仪器及监理信息化管理平台。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全站仪、水准仪、回弹仪等常规检测仪器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监理信息化管理平台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10127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图纸会审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012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图3-1　监理例会图纸会审</w:t>
      </w:r>
    </w:p>
    <w:sectPr w:rsidR="00FC693F" w:rsidRPr="0006063C" w:rsidSect="00034616">
      <w:footerReference w:type="default" r:id="rId14"/>
      <w:headerReference w:type="default" r:id="rId15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 xml:space="preserve"> - </w:t>
    </w:r>
    <w:r>
      <w:fldChar w:fldCharType="begin"/>
      <w:instrText xml:space="preserve">PAGE</w:instrText>
      <w:fldChar w:fldCharType="end"/>
    </w:r>
    <w:r>
      <w:rPr>
        <w:sz w:val="18"/>
      </w:rPr>
      <w:t xml:space="preserve"> - </w:t>
    </w:r>
    <w:r>
      <w:rPr>
        <w:rFonts w:ascii="Times New Roman" w:hAnsi="Times New Roman" w:eastAsia="宋体"/>
        <w:sz w:val="18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808080"/>
      </w:pBdr>
    </w:pPr>
    <w:r>
      <w:rPr>
        <w:rFonts w:ascii="Times New Roman" w:hAnsi="Times New Roman" w:eastAsia="仿宋"/>
        <w:color w:val="1B2C52"/>
        <w:sz w:val="18"/>
      </w:rPr>
      <w:t>预览企业　|　投标技术标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footer" Target="footer1.xml"/><Relationship Id="rId1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