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  <w:shd w:val="clear" w:color="auto" w:fill="1B2C52"/>
      </w:pPr>
      <w:r>
        <w:rPr>
          <w:rFonts w:ascii="Times New Roman" w:hAnsi="Times New Roman" w:eastAsia="黑体"/>
          <w:b/>
          <w:color w:val="FFFFFF"/>
          <w:sz w:val="72"/>
        </w:rPr>
        <w:t>投标技术标（监理大纲）</w:t>
      </w:r>
    </w:p>
    <w:p>
      <w:pPr>
        <w:jc w:val="center"/>
        <w:shd w:val="clear" w:color="auto" w:fill="1B2C52"/>
      </w:pPr>
      <w:r>
        <w:rPr>
          <w:rFonts w:ascii="Times New Roman" w:hAnsi="Times New Roman" w:eastAsia="黑体"/>
          <w:b/>
          <w:color w:val="FFFFFF"/>
          <w:sz w:val="44"/>
        </w:rPr>
        <w:t>预览项目</w:t>
      </w:r>
    </w:p>
    <w:p>
      <w:pPr>
        <w:jc w:val="center"/>
        <w:shd w:val="clear" w:color="auto" w:fill="1B2C52"/>
      </w:pPr>
      <w:r>
        <w:rPr>
          <w:rFonts w:ascii="Times New Roman" w:hAnsi="Times New Roman" w:eastAsia="黑体"/>
          <w:color w:val="FFFFFF"/>
          <w:sz w:val="28"/>
        </w:rPr>
        <w:t>预览企业</w:t>
      </w:r>
    </w:p>
    <w:p>
      <w:r>
        <w:br w:type="page"/>
      </w:r>
    </w:p>
    <w:p>
      <w:pPr>
        <w:jc w:val="center"/>
      </w:pPr>
      <w:r>
        <w:rPr>
          <w:rFonts w:ascii="Times New Roman" w:hAnsi="Times New Roman" w:eastAsia="黑体"/>
          <w:b/>
          <w:sz w:val="32"/>
        </w:rPr>
        <w:t>目　录</w:t>
      </w:r>
    </w:p>
    <w:p>
      <w:r>
        <w:fldChar w:fldCharType="begin"/>
        <w:instrText xml:space="preserve">TOC \o "1-3" \h \z \u</w:instrText>
        <w:fldChar w:fldCharType="separate"/>
      </w:r>
      <w:r>
        <w:rPr>
          <w:sz w:val="24"/>
        </w:rPr>
        <w:t>TOC 目录（打开文档后按 F9 或 Ctrl+A → F9 更新）</w:t>
      </w:r>
      <w:r>
        <w:fldChar w:fldCharType="end"/>
      </w:r>
    </w:p>
    <w:p>
      <w:r>
        <w:br w:type="page"/>
      </w:r>
    </w:p>
    <w:p>
      <w:pPr>
        <w:pageBreakBefore/>
        <w:spacing w:after="200"/>
        <w:outlineLvl w:val="0"/>
      </w:pPr>
      <w:r>
        <w:rPr>
          <w:rFonts w:ascii="Times New Roman" w:hAnsi="Times New Roman" w:eastAsia="黑体"/>
          <w:b/>
          <w:color w:val="1B2C52"/>
          <w:sz w:val="32"/>
        </w:rPr>
        <w:t>第一章 工程概况与监理工作范围</w:t>
      </w:r>
    </w:p>
    <w:p>
      <w:pPr>
        <w:keepNext/>
        <w:spacing w:before="120" w:after="80" w:line="288" w:lineRule="auto"/>
        <w:outlineLvl w:val="0"/>
      </w:pPr>
      <w:r>
        <w:rPr>
          <w:rFonts w:ascii="Times New Roman" w:hAnsi="Times New Roman" w:eastAsia="黑体"/>
          <w:b/>
          <w:color w:val="1B2C52"/>
          <w:sz w:val="24"/>
        </w:rPr>
        <w:t>一、工程概况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预览项目为框架剪力墙结构公共建筑，总建筑面积约 8.6 万平方米，地上十层、地下两层。</w:t>
      </w:r>
    </w:p>
    <w:p>
      <w:pPr>
        <w:keepNext/>
        <w:spacing w:before="120" w:after="80" w:line="288" w:lineRule="auto"/>
        <w:outlineLvl w:val="1"/>
      </w:pPr>
      <w:r>
        <w:rPr>
          <w:rFonts w:ascii="Times New Roman" w:hAnsi="Times New Roman" w:eastAsia="黑体"/>
          <w:b/>
          <w:color w:val="1B2C52"/>
          <w:sz w:val="24"/>
        </w:rPr>
        <w:t>（一）项目理解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本项目监理工作覆盖质量、进度、投资、安全环保与合同信息管理五大目标。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C9D2E2"/>
          <w:left w:val="single" w:sz="4" w:color="C9D2E2"/>
          <w:bottom w:val="single" w:sz="4" w:color="C9D2E2"/>
          <w:right w:val="single" w:sz="4" w:color="C9D2E2"/>
          <w:insideH w:val="single" w:sz="4" w:color="C9D2E2"/>
          <w:insideV w:val="single" w:sz="4" w:color="C9D2E2"/>
        </w:tblBorders>
      </w:tblPr>
      <w:tblGrid>
        <w:gridCol w:w="794"/>
        <w:gridCol w:w="7370"/>
      </w:tblGrid>
      <w:tr>
        <w:tc>
          <w:tcPr>
            <w:tcW w:type="dxa" w:w="4150"/>
            <w:shd w:val="clear" w:color="auto" w:fill="E8ECF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4150"/>
          </w:tcPr>
          <w:p>
            <w:r/>
            <w:r>
              <w:rPr>
                <w:rFonts w:ascii="Times New Roman" w:hAnsi="Times New Roman" w:eastAsia="宋体"/>
                <w:sz w:val="21"/>
              </w:rPr>
              <w:t>质量控制：材料进场验收与旁站监理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C9D2E2"/>
          <w:left w:val="single" w:sz="4" w:color="C9D2E2"/>
          <w:bottom w:val="single" w:sz="4" w:color="C9D2E2"/>
          <w:right w:val="single" w:sz="4" w:color="C9D2E2"/>
          <w:insideH w:val="single" w:sz="4" w:color="C9D2E2"/>
          <w:insideV w:val="single" w:sz="4" w:color="C9D2E2"/>
        </w:tblBorders>
      </w:tblPr>
      <w:tblGrid>
        <w:gridCol w:w="794"/>
        <w:gridCol w:w="7370"/>
      </w:tblGrid>
      <w:tr>
        <w:tc>
          <w:tcPr>
            <w:tcW w:type="dxa" w:w="4150"/>
            <w:shd w:val="clear" w:color="auto" w:fill="E8ECF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4150"/>
          </w:tcPr>
          <w:p>
            <w:r/>
            <w:r>
              <w:rPr>
                <w:rFonts w:ascii="Times New Roman" w:hAnsi="Times New Roman" w:eastAsia="宋体"/>
                <w:sz w:val="21"/>
              </w:rPr>
              <w:t>进度控制：总控计划动态纠偏</w:t>
            </w:r>
          </w:p>
        </w:tc>
      </w:tr>
    </w:tbl>
    <w:p>
      <w:pPr>
        <w:spacing w:before="120" w:after="40"/>
        <w:jc w:val="center"/>
      </w:pPr>
      <w:r>
        <w:rPr>
          <w:rFonts w:ascii="Times New Roman" w:hAnsi="Times New Roman" w:eastAsia="宋体"/>
          <w:sz w:val="18"/>
        </w:rPr>
        <w:t>表 1　序号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/>
          <w:right w:val="none" w:sz="0"/>
          <w:insideV w:val="none" w:sz="0"/>
          <w:insideH w:val="none" w:sz="4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序号</w:t>
            </w:r>
          </w:p>
        </w:tc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控制目标</w:t>
            </w:r>
          </w:p>
        </w:tc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主要措施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质量目标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三检制、样板引路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进度目标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关键线路周报纠偏</w:t>
            </w:r>
          </w:p>
        </w:tc>
      </w:tr>
    </w:tbl>
    <w:p>
      <w:pPr>
        <w:keepNext/>
        <w:spacing w:before="60" w:after="40" w:line="288" w:lineRule="auto"/>
        <w:outlineLvl w:val="2"/>
      </w:pPr>
      <w:r>
        <w:rPr>
          <w:rFonts w:ascii="Times New Roman" w:hAnsi="Times New Roman" w:eastAsia="黑体"/>
          <w:b w:val="0"/>
          <w:color w:val="1B2C52"/>
          <w:sz w:val="24"/>
        </w:rPr>
        <w:t>1. 监理工作范围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施工阶段监理，含土建、安装、装饰、智能化、室外工程等全部专业。</w:t>
      </w:r>
    </w:p>
    <w:p>
      <w:pPr>
        <w:pageBreakBefore/>
        <w:spacing w:after="200"/>
        <w:outlineLvl w:val="0"/>
      </w:pPr>
      <w:r>
        <w:rPr>
          <w:rFonts w:ascii="Times New Roman" w:hAnsi="Times New Roman" w:eastAsia="黑体"/>
          <w:b/>
          <w:color w:val="1B2C52"/>
          <w:sz w:val="32"/>
        </w:rPr>
        <w:t>第二章 监理工作依据、目标与内容</w:t>
      </w:r>
    </w:p>
    <w:p>
      <w:pPr>
        <w:keepNext/>
        <w:spacing w:before="120" w:after="80" w:line="288" w:lineRule="auto"/>
        <w:outlineLvl w:val="0"/>
      </w:pPr>
      <w:r>
        <w:rPr>
          <w:rFonts w:ascii="Times New Roman" w:hAnsi="Times New Roman" w:eastAsia="黑体"/>
          <w:b/>
          <w:color w:val="1B2C52"/>
          <w:sz w:val="24"/>
        </w:rPr>
        <w:t>一、监理工作依据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C9D2E2"/>
          <w:left w:val="single" w:sz="4" w:color="C9D2E2"/>
          <w:bottom w:val="single" w:sz="4" w:color="C9D2E2"/>
          <w:right w:val="single" w:sz="4" w:color="C9D2E2"/>
          <w:insideH w:val="single" w:sz="4" w:color="C9D2E2"/>
          <w:insideV w:val="single" w:sz="4" w:color="C9D2E2"/>
        </w:tblBorders>
      </w:tblPr>
      <w:tblGrid>
        <w:gridCol w:w="794"/>
        <w:gridCol w:w="7370"/>
      </w:tblGrid>
      <w:tr>
        <w:tc>
          <w:tcPr>
            <w:tcW w:type="dxa" w:w="4150"/>
            <w:shd w:val="clear" w:color="auto" w:fill="E8ECF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4150"/>
          </w:tcPr>
          <w:p>
            <w:r/>
            <w:r>
              <w:rPr>
                <w:rFonts w:ascii="Times New Roman" w:hAnsi="Times New Roman" w:eastAsia="宋体"/>
                <w:sz w:val="21"/>
              </w:rPr>
              <w:t>国家和地方有关工程建设的法律、法规与规章；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C9D2E2"/>
          <w:left w:val="single" w:sz="4" w:color="C9D2E2"/>
          <w:bottom w:val="single" w:sz="4" w:color="C9D2E2"/>
          <w:right w:val="single" w:sz="4" w:color="C9D2E2"/>
          <w:insideH w:val="single" w:sz="4" w:color="C9D2E2"/>
          <w:insideV w:val="single" w:sz="4" w:color="C9D2E2"/>
        </w:tblBorders>
      </w:tblPr>
      <w:tblGrid>
        <w:gridCol w:w="794"/>
        <w:gridCol w:w="7370"/>
      </w:tblGrid>
      <w:tr>
        <w:tc>
          <w:tcPr>
            <w:tcW w:type="dxa" w:w="4150"/>
            <w:shd w:val="clear" w:color="auto" w:fill="E8ECF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4150"/>
          </w:tcPr>
          <w:p>
            <w:r/>
            <w:r>
              <w:rPr>
                <w:rFonts w:ascii="Times New Roman" w:hAnsi="Times New Roman" w:eastAsia="宋体"/>
                <w:sz w:val="21"/>
              </w:rPr>
              <w:t>《建设工程监理规范》GB/T 50319-2013。</w:t>
            </w:r>
          </w:p>
        </w:tc>
      </w:tr>
    </w:tbl>
    <w:p>
      <w:pPr>
        <w:keepNext/>
        <w:spacing w:before="120" w:after="80" w:line="288" w:lineRule="auto"/>
        <w:outlineLvl w:val="1"/>
      </w:pPr>
      <w:r>
        <w:rPr>
          <w:rFonts w:ascii="Times New Roman" w:hAnsi="Times New Roman" w:eastAsia="黑体"/>
          <w:b/>
          <w:color w:val="1B2C52"/>
          <w:sz w:val="24"/>
        </w:rPr>
        <w:t>（一）监理工作目标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质量达到一次性验收合格标准；进度满足合同节点要求；投资控制在批准概算内。</w:t>
      </w:r>
    </w:p>
    <w:p>
      <w:pPr>
        <w:keepNext/>
        <w:spacing w:before="60" w:after="40" w:line="288" w:lineRule="auto"/>
        <w:outlineLvl w:val="2"/>
      </w:pPr>
      <w:r>
        <w:rPr>
          <w:rFonts w:ascii="Times New Roman" w:hAnsi="Times New Roman" w:eastAsia="黑体"/>
          <w:b w:val="0"/>
          <w:color w:val="1B2C52"/>
          <w:sz w:val="24"/>
        </w:rPr>
        <w:t>1. 监理工作制度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建立监理例会、旁站监理、见证取样、巡视检查、资料管理制度。</w:t>
      </w:r>
    </w:p>
    <w:p>
      <w:pPr>
        <w:pageBreakBefore/>
        <w:spacing w:after="200"/>
        <w:outlineLvl w:val="0"/>
      </w:pPr>
      <w:r>
        <w:rPr>
          <w:rFonts w:ascii="Times New Roman" w:hAnsi="Times New Roman" w:eastAsia="黑体"/>
          <w:b/>
          <w:color w:val="1B2C52"/>
          <w:sz w:val="32"/>
        </w:rPr>
        <w:t>第三章 项目监理机构及人员配备</w:t>
      </w:r>
    </w:p>
    <w:p>
      <w:pPr>
        <w:keepNext/>
        <w:spacing w:before="120" w:after="80" w:line="288" w:lineRule="auto"/>
        <w:outlineLvl w:val="0"/>
      </w:pPr>
      <w:r>
        <w:rPr>
          <w:rFonts w:ascii="Times New Roman" w:hAnsi="Times New Roman" w:eastAsia="黑体"/>
          <w:b/>
          <w:color w:val="1B2C52"/>
          <w:sz w:val="24"/>
        </w:rPr>
        <w:t>一、项目监理机构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实行总监理工程师负责制，设总监理工程师 1 名、专业监理工程师 5 名、监理员 4 名。</w:t>
      </w:r>
    </w:p>
    <w:p>
      <w:pPr>
        <w:keepNext/>
        <w:spacing w:before="120" w:after="80" w:line="288" w:lineRule="auto"/>
        <w:outlineLvl w:val="1"/>
      </w:pPr>
      <w:r>
        <w:rPr>
          <w:rFonts w:ascii="Times New Roman" w:hAnsi="Times New Roman" w:eastAsia="黑体"/>
          <w:b/>
          <w:color w:val="1B2C52"/>
          <w:sz w:val="24"/>
        </w:rPr>
        <w:t>（一）人员配备</w:t>
      </w:r>
    </w:p>
    <w:p>
      <w:pPr>
        <w:spacing w:before="120" w:after="40"/>
        <w:jc w:val="center"/>
      </w:pPr>
      <w:r>
        <w:rPr>
          <w:rFonts w:ascii="Times New Roman" w:hAnsi="Times New Roman" w:eastAsia="宋体"/>
          <w:sz w:val="18"/>
        </w:rPr>
        <w:t>表 2　岗位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/>
          <w:right w:val="none" w:sz="0"/>
          <w:insideV w:val="none" w:sz="0"/>
          <w:insideH w:val="none" w:sz="4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岗位</w:t>
            </w:r>
          </w:p>
        </w:tc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人数</w:t>
            </w:r>
          </w:p>
        </w:tc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资格要求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总监理工程师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注册监理工程师、高级职称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专业监理工程师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中级及以上职称</w:t>
            </w:r>
          </w:p>
        </w:tc>
      </w:tr>
    </w:tbl>
    <w:p>
      <w:pPr>
        <w:keepNext/>
        <w:spacing w:before="60" w:after="40" w:line="288" w:lineRule="auto"/>
        <w:outlineLvl w:val="2"/>
      </w:pPr>
      <w:r>
        <w:rPr>
          <w:rFonts w:ascii="Times New Roman" w:hAnsi="Times New Roman" w:eastAsia="黑体"/>
          <w:b w:val="0"/>
          <w:color w:val="1B2C52"/>
          <w:sz w:val="24"/>
        </w:rPr>
        <w:t>1. 仪器设备配置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配备全站仪、水准仪、回弹仪等常规检测仪器及监理信息化管理平台。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C9D2E2"/>
          <w:left w:val="single" w:sz="4" w:color="C9D2E2"/>
          <w:bottom w:val="single" w:sz="4" w:color="C9D2E2"/>
          <w:right w:val="single" w:sz="4" w:color="C9D2E2"/>
          <w:insideH w:val="single" w:sz="4" w:color="C9D2E2"/>
          <w:insideV w:val="single" w:sz="4" w:color="C9D2E2"/>
        </w:tblBorders>
      </w:tblPr>
      <w:tblGrid>
        <w:gridCol w:w="794"/>
        <w:gridCol w:w="7370"/>
      </w:tblGrid>
      <w:tr>
        <w:tc>
          <w:tcPr>
            <w:tcW w:type="dxa" w:w="4150"/>
            <w:shd w:val="clear" w:color="auto" w:fill="E8ECF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415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全站仪、水准仪、回弹仪等常规检测仪器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C9D2E2"/>
          <w:left w:val="single" w:sz="4" w:color="C9D2E2"/>
          <w:bottom w:val="single" w:sz="4" w:color="C9D2E2"/>
          <w:right w:val="single" w:sz="4" w:color="C9D2E2"/>
          <w:insideH w:val="single" w:sz="4" w:color="C9D2E2"/>
          <w:insideV w:val="single" w:sz="4" w:color="C9D2E2"/>
        </w:tblBorders>
      </w:tblPr>
      <w:tblGrid>
        <w:gridCol w:w="794"/>
        <w:gridCol w:w="7370"/>
      </w:tblGrid>
      <w:tr>
        <w:tc>
          <w:tcPr>
            <w:tcW w:type="dxa" w:w="4150"/>
            <w:shd w:val="clear" w:color="auto" w:fill="E8ECF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4150"/>
          </w:tcPr>
          <w:p>
            <w:r/>
            <w:r>
              <w:rPr>
                <w:rFonts w:ascii="Times New Roman" w:hAnsi="Times New Roman" w:eastAsia="宋体"/>
                <w:sz w:val="21"/>
              </w:rPr>
              <w:t>监理信息化管理平台</w:t>
            </w:r>
          </w:p>
        </w:tc>
      </w:tr>
    </w:tbl>
    <w:sectPr w:rsidR="00FC693F" w:rsidRPr="0006063C" w:rsidSect="00034616">
      <w:footerReference w:type="default" r:id="rId9"/>
      <w:headerReference w:type="default" r:id="rId10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  <w:r>
      <w:rPr>
        <w:sz w:val="18"/>
      </w:rPr>
      <w:t xml:space="preserve"> -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color="808080"/>
      </w:pBdr>
    </w:pPr>
    <w:r>
      <w:rPr>
        <w:rFonts w:ascii="Times New Roman" w:hAnsi="Times New Roman" w:eastAsia="宋体"/>
        <w:sz w:val="18"/>
      </w:rPr>
      <w:t>预览企业　|　投标技术标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