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质量控制：材料进场验收与旁站监理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进度控制：总控计划动态纠偏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09"/>
        <w:gridCol w:w="3855"/>
      </w:tblGrid>
      <w:tr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4583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施工现场全景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5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1　施工现场全景</w:t>
            </w:r>
          </w:p>
          <w:p>
            <w:r>
              <w:rPr>
                <w:rFonts w:ascii="Times New Roman" w:hAnsi="Times New Roman" w:eastAsia="仿宋"/>
                <w:sz w:val="24"/>
              </w:rPr>
              <w:t>现场主体结构已施工至十层，安全防护与绿色施工措施同步落实。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国家和地方有关工程建设的法律、法规与规章；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《建设工程监理规范》GB/T 50319-2013。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09"/>
        <w:gridCol w:w="3855"/>
      </w:tblGrid>
      <w:tr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4583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水准测量放线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5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2　现场水准测量</w:t>
            </w:r>
          </w:p>
          <w:p>
            <w:r>
              <w:rPr>
                <w:rFonts w:ascii="Times New Roman" w:hAnsi="Times New Roman" w:eastAsia="仿宋"/>
                <w:sz w:val="24"/>
              </w:rPr>
              <w:t>现场监理人员正在开展水准测量放线复核，实测实量数据同步录入监理台账。</w:t>
            </w:r>
          </w:p>
        </w:tc>
      </w:tr>
    </w:tbl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全站仪、水准仪、回弹仪等常规检测仪器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监理信息化管理平台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09"/>
        <w:gridCol w:w="3855"/>
      </w:tblGrid>
      <w:tr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4583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图纸会审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5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3　监理例会图纸会审</w:t>
            </w:r>
          </w:p>
          <w:p>
            <w:r>
              <w:rPr>
                <w:rFonts w:ascii="Times New Roman" w:hAnsi="Times New Roman" w:eastAsia="仿宋"/>
                <w:sz w:val="24"/>
              </w:rPr>
              <w:t>监理例会与图纸会审制度保障参建各方信息畅通，重大问题及时协调解决。</w:t>
            </w:r>
          </w:p>
        </w:tc>
      </w:tr>
    </w:tbl>
    <w:sectPr w:rsidR="00FC693F" w:rsidRPr="0006063C" w:rsidSect="00034616">
      <w:footerReference w:type="default" r:id="rId12"/>
      <w:headerReference w:type="default" r:id="rId13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