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质量控制：材料进场验收与旁站监理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进度控制：总控计划动态纠偏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一、监理工作依据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国家和地方有关工程建设的法律、法规与规章；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《建设工程监理规范》GB/T 50319-2013。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2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全站仪、水准仪、回弹仪等常规检测仪器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C9D2E2"/>
          <w:left w:val="single" w:sz="4" w:color="C9D2E2"/>
          <w:bottom w:val="single" w:sz="4" w:color="C9D2E2"/>
          <w:right w:val="single" w:sz="4" w:color="C9D2E2"/>
          <w:insideH w:val="single" w:sz="4" w:color="C9D2E2"/>
          <w:insideV w:val="single" w:sz="4" w:color="C9D2E2"/>
        </w:tblBorders>
      </w:tblPr>
      <w:tblGrid>
        <w:gridCol w:w="794"/>
        <w:gridCol w:w="7370"/>
      </w:tblGrid>
      <w:tr>
        <w:tc>
          <w:tcPr>
            <w:tcW w:type="dxa" w:w="4150"/>
            <w:shd w:val="clear" w:color="auto" w:fill="E8ECF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4150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监理信息化管理平台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3　监理例会图纸会审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2"/>
      <w:headerReference w:type="default" r:id="rId1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