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280"/>
        <w:jc w:val="center"/>
      </w:pPr>
      <w:r>
        <w:rPr>
          <w:rFonts w:ascii="Noto Sans CJK SC" w:hAnsi="Noto Sans CJK SC" w:eastAsia="Noto Sans CJK SC"/>
          <w:b/>
          <w:color w:val="193750"/>
          <w:sz w:val="50"/>
        </w:rPr>
        <w:t>A股候选池二次筛选与机会排名系统</w:t>
      </w:r>
    </w:p>
    <w:p>
      <w:pPr>
        <w:spacing w:after="560"/>
        <w:jc w:val="center"/>
      </w:pPr>
      <w:r>
        <w:rPr>
          <w:rFonts w:ascii="Noto Sans CJK SC" w:hAnsi="Noto Sans CJK SC" w:eastAsia="Noto Sans CJK SC"/>
          <w:b/>
          <w:color w:val="1F4E79"/>
          <w:sz w:val="36"/>
        </w:rPr>
        <w:t>设计与开发说明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6973"/>
      </w:tblGrid>
      <w:tr>
        <w:trPr>
          <w:trHeight w:hRule="atLeast"/>
          <w:cantSplit/>
        </w:trPr>
        <w:tc>
          <w:tcPr>
            <w:tcW w:type="dxa" w:w="492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文档用途</w:t>
            </w:r>
          </w:p>
        </w:tc>
        <w:tc>
          <w:tcPr>
            <w:tcW w:type="dxa" w:w="492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交付 AI coder，作为二次筛选、排名、审计与历史验证模块的实现依据</w:t>
            </w:r>
          </w:p>
        </w:tc>
      </w:tr>
      <w:tr>
        <w:trPr>
          <w:trHeight w:hRule="atLeast"/>
          <w:cantSplit/>
        </w:trPr>
        <w:tc>
          <w:tcPr>
            <w:tcW w:type="dxa" w:w="492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模块边界</w:t>
            </w:r>
          </w:p>
        </w:tc>
        <w:tc>
          <w:tcPr>
            <w:tcW w:type="dxa" w:w="492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输入为现有 A/B/C 候选池；输出为研究名单 / 当前机会名单；不直接自动下单</w:t>
            </w:r>
          </w:p>
        </w:tc>
      </w:tr>
      <w:tr>
        <w:trPr>
          <w:trHeight w:hRule="atLeast"/>
          <w:cantSplit/>
        </w:trPr>
        <w:tc>
          <w:tcPr>
            <w:tcW w:type="dxa" w:w="492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行业口径</w:t>
            </w:r>
          </w:p>
        </w:tc>
        <w:tc>
          <w:tcPr>
            <w:tcW w:type="dxa" w:w="492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申万行业分类 2021 版；一级→二级→三级层级组织</w:t>
            </w:r>
          </w:p>
        </w:tc>
      </w:tr>
      <w:tr>
        <w:trPr>
          <w:trHeight w:hRule="atLeast"/>
          <w:cantSplit/>
        </w:trPr>
        <w:tc>
          <w:tcPr>
            <w:tcW w:type="dxa" w:w="492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设计状态</w:t>
            </w:r>
          </w:p>
        </w:tc>
        <w:tc>
          <w:tcPr>
            <w:tcW w:type="dxa" w:w="492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V1.0：第一版可实现、可审计、可回测；阈值均需配置化</w:t>
            </w:r>
          </w:p>
        </w:tc>
      </w:tr>
      <w:tr>
        <w:trPr>
          <w:trHeight w:hRule="atLeast"/>
          <w:cantSplit/>
        </w:trPr>
        <w:tc>
          <w:tcPr>
            <w:tcW w:type="dxa" w:w="492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日期</w:t>
            </w:r>
          </w:p>
        </w:tc>
        <w:tc>
          <w:tcPr>
            <w:tcW w:type="dxa" w:w="492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2026-08-09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trHeight w:hRule="atLeast"/>
          <w:cantSplit/>
        </w:trPr>
        <w:tc>
          <w:tcPr>
            <w:tcW w:type="dxa" w:w="9858"/>
            <w:shd w:fill="EEF5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</w:rPr>
              <w:t>一句话定义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这个模块不是“重新选一次股票”，而是把每个池中上千只“符合定义的候选股”，通过可解释、可回放、可检查的五层漏斗，逐步缩小成少量真正值得研究和准备交易的标的。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文档目录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背景、问题与设计目标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关键设计决策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总体架构：L0 输入 + 五层二次筛选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申万行业层级与行业强度设计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L1 可交易性与硬风险过滤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L2 池内前提质量复核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L3 横向强度与行业共振排名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L4 交易触发与时机成熟度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L5 最终机会评分与研究名单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A/B/C 三池的差异化实现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可审计、可解释与历史回放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数据模型与数据库设计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数据源、Tushare 接口与本地因子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Point-in-Time / 防未来函数规范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前端页面与交互设计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批处理流程与内部接口建议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配置、版本与阈值管理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测试、验收与回测验证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分阶段实施顺序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AI coder 实施清单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V1 默认参数建议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原因码建议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官方数据文档参考</w:t>
      </w: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1. 背景、问题与设计目标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1.1 现状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现有选股程序已经能够按照 A/B/C 三类策略逻辑生成候选池，选股逻辑本身基本合理；问题在于单个池即可产生约 1,000 只甚至更多候选股。对于个人账户而言，最终实际持仓通常只会是少量标的，因此“符合候选池定义”与“当前最值得研究、最值得交易”之间还缺少一个完整的二次筛选层。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本设计不重写 A/B/C 原有入池逻辑。原有候选池继续负责回答“哪些股票属于这种机会类型”；本模块负责回答“这些候选股里，哪些值得优先研究，哪些已经接近可交易状态，为什么”。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1.2 本模块目标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将每个池约数百至上千只候选股，逐层压缩为几十只研究标的，再形成约 10～20 只“当前机会名单”；最终是否持有 5～8 只由后续交易计划与组合风险模块决定。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不以“提高上涨概率”作为唯一目标，而是寻找风险调整后更有吸引力的机会：趋势/结构质量、行业共振、当前触发、风险距离、潜在空间共同决定优先级。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每一层都必须可见、可检查、可解释；任何股票被淘汰、延后或降级都必须保留原因与当时原始指标。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所有历史结果必须可回放，能够在几个月后回答“当时为什么淘汰它、后来它表现怎样”。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设计必须支持后续用历史数据评估每条规则：被某条规则淘汰的股票，后续是否真的显著更差。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1.3 非目标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本模块不负责自动下单，不把 Opportunity Score 直接等价为买入指令。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本模块不强制 A/B/C 每池各选固定数量；不同市场阶段允许某一池没有机会、另一池机会集中。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V1 不依赖分钟行情、新闻 NLP、龙虎榜或复杂机器学习模型；先把日线/周线、财务、行业与可审计框架做好。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V1 不把第三方“现成技术因子”作为核心依赖。技术指标尽量由本地基础行情自行计算，以保证公式透明、历史可复现。</w:t>
      </w: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2. 关键设计决策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rHeight w:hRule="atLeast"/>
          <w:tblHeader w:val="true"/>
          <w:cantSplit/>
        </w:trPr>
        <w:tc>
          <w:tcPr>
            <w:tcW w:type="dxa" w:w="79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编号</w:t>
            </w:r>
          </w:p>
        </w:tc>
        <w:tc>
          <w:tcPr>
            <w:tcW w:type="dxa" w:w="34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决策</w:t>
            </w:r>
          </w:p>
        </w:tc>
        <w:tc>
          <w:tcPr>
            <w:tcW w:type="dxa" w:w="521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原因</w:t>
            </w:r>
          </w:p>
        </w:tc>
      </w:tr>
      <w:tr>
        <w:trPr>
          <w:trHeight w:hRule="atLeast"/>
          <w:cantSplit/>
        </w:trP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D1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候选池是 L0 输入，不算作五层新筛选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避免把“池定义”和“二次优选”混在一起，后续可以独立修改。</w:t>
            </w:r>
          </w:p>
        </w:tc>
      </w:tr>
      <w:tr>
        <w:trPr>
          <w:trHeight w:hRule="atLeast"/>
          <w:cantSplit/>
        </w:trP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D2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硬过滤只放在前面，越往后越偏评分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减少因单一阈值误杀潜在大牛股。</w:t>
            </w:r>
          </w:p>
        </w:tc>
      </w:tr>
      <w:tr>
        <w:trPr>
          <w:trHeight w:hRule="atLeast"/>
          <w:cantSplit/>
        </w:trP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D3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淘汰不等于删除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所有 FAIL / DEFER / DATA_MISSING 都持久化保存，可随时查看。</w:t>
            </w:r>
          </w:p>
        </w:tc>
      </w:tr>
      <w:tr>
        <w:trPr>
          <w:trHeight w:hRule="atLeast"/>
          <w:cantSplit/>
        </w:trP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D4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无固定池配额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不规定 A/B/C 各 2～3 只；最终按机会质量排序。</w:t>
            </w:r>
          </w:p>
        </w:tc>
      </w:tr>
      <w:tr>
        <w:trPr>
          <w:trHeight w:hRule="atLeast"/>
          <w:cantSplit/>
        </w:trP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D5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行业只用申万体系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申万 2021 本身包含一级、二级、三级分类；默认使用一级→二级组织，三级用于细分。</w:t>
            </w:r>
          </w:p>
        </w:tc>
      </w:tr>
      <w:tr>
        <w:trPr>
          <w:trHeight w:hRule="atLeast"/>
          <w:cantSplit/>
        </w:trP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D6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申万二级行业为主要比较口径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一级过粗，三级有时样本过少；二级适合作为默认行业横向比较。</w:t>
            </w:r>
          </w:p>
        </w:tc>
      </w:tr>
      <w:tr>
        <w:trPr>
          <w:trHeight w:hRule="atLeast"/>
          <w:cantSplit/>
        </w:trP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D7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评分必须可拆解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任何综合分必须能展开到每个子因子及其原始数值、百分位、权重。</w:t>
            </w:r>
          </w:p>
        </w:tc>
      </w:tr>
      <w:tr>
        <w:trPr>
          <w:trHeight w:hRule="atLeast"/>
          <w:cantSplit/>
        </w:trP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D8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历史计算严格 Point-in-Time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只允许使用当时已经公开/可获得的数据，禁止未来函数和幸存者偏差。</w:t>
            </w:r>
          </w:p>
        </w:tc>
      </w:tr>
      <w:tr>
        <w:trPr>
          <w:trHeight w:hRule="atLeast"/>
          <w:cantSplit/>
        </w:trP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D9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阈值全部配置化并版本化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V1 默认值只是初始假设，后续依靠历史验证与人工检查调整。</w:t>
            </w:r>
          </w:p>
        </w:tc>
      </w:tr>
      <w:tr>
        <w:trPr>
          <w:trHeight w:hRule="atLeast"/>
          <w:cantSplit/>
        </w:trPr>
        <w:tc>
          <w:tcPr>
            <w:tcW w:type="dxa" w:w="7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D10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最终榜单允许为空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没有满足最低质量/触发条件的股票时，系统不能为了凑数强行输出 10 只。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trHeight w:hRule="atLeast"/>
          <w:cantSplit/>
        </w:trPr>
        <w:tc>
          <w:tcPr>
            <w:tcW w:type="dxa" w:w="9858"/>
            <w:shd w:fill="EEF5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</w:rPr>
              <w:t>重要：三种状态必须区分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FAIL = 规则明确判定不应继续；DEFER = 股票本身可能好，但当前不可交易或触发尚未成熟；DATA_MISSING = 数据不足，系统不能偷偷把缺失值当作 0 或默认通过。</w:t>
            </w:r>
          </w:p>
        </w:tc>
      </w:tr>
    </w:tbl>
    <w:p>
      <w:pPr>
        <w:spacing w:after="0"/>
      </w:pP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3. 总体架构：L0 输入 + 五层二次筛选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3.1 层级定义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rHeight w:hRule="atLeast"/>
          <w:tblHeader w:val="true"/>
          <w:cantSplit/>
        </w:trPr>
        <w:tc>
          <w:tcPr>
            <w:tcW w:type="dxa" w:w="68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层</w:t>
            </w:r>
          </w:p>
        </w:tc>
        <w:tc>
          <w:tcPr>
            <w:tcW w:type="dxa" w:w="243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名称</w:t>
            </w:r>
          </w:p>
        </w:tc>
        <w:tc>
          <w:tcPr>
            <w:tcW w:type="dxa" w:w="351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核心问题</w:t>
            </w:r>
          </w:p>
        </w:tc>
        <w:tc>
          <w:tcPr>
            <w:tcW w:type="dxa" w:w="300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主要输出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L0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现有 A/B/C 候选池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“它属于哪一类机会？”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沿用已有选股结果，不改原规则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L1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可交易性与硬风险过滤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“现在是否具备基本可交易条件？”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PASS / FAIL / DEFER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L2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池内前提质量复核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“它虽然入池，但这个机会的质量高不高？”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质量分 + 少量硬失效条件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L3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横向强度与行业共振排名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“同类候选中谁更强？行业是否支持？”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股票、行业、行业内排名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L4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交易触发与时机成熟度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“好股票现在是否到了值得动手观察的位置？”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READY / WATCH / OVEREXTENDED / INVALIDATED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L5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最终机会评分与研究名单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“把所有证据合起来，谁最值得优先研究？”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Opportunity Score、全局排名、Top N</w:t>
            </w:r>
          </w:p>
        </w:tc>
      </w:tr>
    </w:tbl>
    <w:p>
      <w:pPr>
        <w:spacing w:after="0"/>
      </w:pP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3.2 目标漏斗数量只是“观察值”，不是规则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系统可以展示每层通过率，以便发现某一层过松或过严，但不得通过强行 Top X 的方式让每层固定产出。示例：A 池 1,127 → L1 843 → L2 417 → L3 高优先级 120 → L4 READY 26 → L5 研究名单 12。真实结果允许大幅波动。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3.3 运行单位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默认按交易日收盘后运行一次；所有日线、每日指标、申万行业数据完成同步后启动。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一次运行对应唯一 run_id、trade_date、config_version、data_version。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同一天允许重跑，但不能覆盖旧结果；新结果产生新的 run_id，用于对比配置变化。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前端默认展示“最新成功运行”，同时可切换任意历史交易日。</w:t>
      </w: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4. 申万行业层级与行业强度设计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4.1 不引入中信行业：申万已经具备三级层级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Tushare 当前的申万 2021 分类提供一级、二级、三级行业；成分接口同时返回 l1/l2/l3 代码和名称。因此 V1 统一使用申万，避免多套行业口径导致归属冲突。界面上默认按“一级行业 → 二级行业 → 个股”展示，三级行业只在用户展开或样本足够时参与细分。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4.2 行业口径优先级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rHeight w:hRule="atLeast"/>
          <w:tblHeader w:val="true"/>
          <w:cantSplit/>
        </w:trPr>
        <w:tc>
          <w:tcPr>
            <w:tcW w:type="dxa" w:w="141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层级</w:t>
            </w:r>
          </w:p>
        </w:tc>
        <w:tc>
          <w:tcPr>
            <w:tcW w:type="dxa" w:w="45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用途</w:t>
            </w:r>
          </w:p>
        </w:tc>
        <w:tc>
          <w:tcPr>
            <w:tcW w:type="dxa" w:w="368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规则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申万一级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宏观行业方向、页面分组、集中度警告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太粗，不作为个股主要同行排名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申万二级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V1 主要行业强度与同行排名口径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默认使用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申万三级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细分赛道观察、同质化更强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当有效成分股 ≥ 10 时可参与评分；样本过少回退至二级</w:t>
            </w:r>
          </w:p>
        </w:tc>
      </w:tr>
    </w:tbl>
    <w:p>
      <w:pPr>
        <w:spacing w:after="0"/>
      </w:pP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4.3 历史行业归属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历史回测不能直接使用“当前最新行业归属”。必须依据 index_member_all 的 in_date / out_date 还原交易日当时的行业成员，否则会产生行业成分幸存者偏差。若同一股票存在多条历史归属记录，以 trade_date 落在 [in_date, out_date) 的记录为准。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4.4 行业强度核心指标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rHeight w:hRule="atLeast"/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变量</w:t>
            </w:r>
          </w:p>
        </w:tc>
        <w:tc>
          <w:tcPr>
            <w:tcW w:type="dxa" w:w="45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计算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含义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ind_ret_20 / 60 / 120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行业指数对应窗口收益率；优先用 sw_daily；若无权限可由历史成分等权重构建代理指数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趋势速度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ind_rs_pct_20 / 60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该二级行业收益率在所有二级行业中的百分位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行业横向强弱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breadth_ma20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行业成分中 close_adj &gt; MA20 的比例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短期广度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breadth_ma60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行业成分中 close_adj &gt; MA60 的比例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中期广度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breadth_high60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行业成分中收盘价距离 60 日新高 ≤ 2% 的比例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扩散程度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median_stock_rs60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行业成分股 RS60 百分位的中位数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避免行业指数被少数权重股“抬起来”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amount_expand_20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行业 5 日平均成交额 / 20 日平均成交额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资金参与变化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ind_trend_score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以上指标标准化后的 0～100 综合分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L3 行业子分</w:t>
            </w:r>
          </w:p>
        </w:tc>
      </w:tr>
    </w:tbl>
    <w:p>
      <w:pPr>
        <w:spacing w:after="0"/>
      </w:pP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4.5 小样本回退规则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三级行业有效成分股 &lt; 10：不计算三级百分位，回退二级。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二级行业有效成分股 &lt; 10：行业内个股百分位与一级行业百分位按 50/50 混合，避免极端排名。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任何行业指标的有效股票覆盖率 &lt; 70%：该指标标记 DATA_QUALITY_LOW，不用于硬淘汰，只降低行业分可信度。</w:t>
      </w: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5. L1 可交易性与硬风险过滤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5.1 设计目的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L1 只做“非常明确”的可交易性和硬风险判断，不负责判断股票好不好。这里宁愿少放规则，也不要把估值、趋势强弱、行业强弱等软判断塞进硬过滤。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5.2 V1 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rHeight w:hRule="atLeast"/>
          <w:tblHeader w:val="true"/>
          <w:cantSplit/>
        </w:trPr>
        <w:tc>
          <w:tcPr>
            <w:tcW w:type="dxa" w:w="96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规则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名称</w:t>
            </w:r>
          </w:p>
        </w:tc>
        <w:tc>
          <w:tcPr>
            <w:tcW w:type="dxa" w:w="289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默认判断</w:t>
            </w:r>
          </w:p>
        </w:tc>
        <w:tc>
          <w:tcPr>
            <w:tcW w:type="dxa" w:w="119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状态</w:t>
            </w:r>
          </w:p>
        </w:tc>
        <w:tc>
          <w:tcPr>
            <w:tcW w:type="dxa" w:w="289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说明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L1-01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交易状态有效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交易日有有效日线数据；非退市/暂停状态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FAIL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缺少当日行情或已退市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L1-02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ST/退市风险标记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名称含 ST、*ST、退；或后续接入专门风险字段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FAIL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本系统当前不交易高退市风险股票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L1-03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上市时间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上市交易日数 ≥ 120（配置项）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FAIL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避免新股价格发现期；未来可单独建新股策略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L1-04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基础流动性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20 日成交额中位数 ≥ 3,000 万元（默认值）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FAIL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10 万账户不需要极高流动性，但排除极端冷门股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L1-05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临时无法成交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最新日一字涨停/一字跌停、长期停牌恢复等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DEFER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不是股票质量差，只是当前不应进入交易机会榜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L1-06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核心数据完整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最近 ≥ 250 个交易日或自上市以来必要窗口数据可用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DATA_MISSING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不允许缺失数据被默认为通过</w:t>
            </w:r>
          </w:p>
        </w:tc>
      </w:tr>
    </w:tbl>
    <w:p>
      <w:pPr>
        <w:spacing w:after="0"/>
      </w:pP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5.3 流动性阈值说明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3,000 万元仅作为 V1 初始值，必须配置化。对于约 10 万元个人账户，这个阈值不是为了成交容量，而是过滤长期缺乏参与、滑点/跳空风险明显的极端小流动性股票。后续应回看被该规则淘汰股票的表现，再决定是否提高到 5,000 万或降低。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5.4 输出字段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l1_status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l1_fail_reason_codes[]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listing_trade_days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amount_median_20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latest_limit_status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st_flag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data_coverage_days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l1_checked_at</w:t>
      </w: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6. L2 池内前提质量复核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6.1 核心思想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候选池解决的是“像不像”；L2 解决的是“像得好不好”。同样是 A 池底部修复，有的只是弱反弹，有的已经出现更高低点、基本面边际改善和持续成交参与；同样是 B 池回调，有的原趋势仍完整，有的已经接近趋势反转。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6.2 通用结构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L2 输出 pool_quality_score（0～100）和 premise_valid（True/False）。除明显结构失效外，尽量使用评分而非硬阈值。默认建议 pool_quality_score &lt; 45 才判 FAIL；45～60 为低优先级但可保留审计；≥60 进入 L3。阈值配置化。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6.3 A 池质量评分（底部/长期弱势后的修复）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rHeight w:hRule="atLeast"/>
          <w:tblHeader w:val="true"/>
          <w:cantSplit/>
        </w:trPr>
        <w:tc>
          <w:tcPr>
            <w:tcW w:type="dxa" w:w="175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子项</w:t>
            </w:r>
          </w:p>
        </w:tc>
        <w:tc>
          <w:tcPr>
            <w:tcW w:type="dxa" w:w="8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权重</w:t>
            </w:r>
          </w:p>
        </w:tc>
        <w:tc>
          <w:tcPr>
            <w:tcW w:type="dxa" w:w="351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变量</w:t>
            </w:r>
          </w:p>
        </w:tc>
        <w:tc>
          <w:tcPr>
            <w:tcW w:type="dxa" w:w="34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解释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A2-1 基底成熟度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base_duration、250日回撤、距250日低点、底部振幅/ATR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有足够时间消化下跌，而不是单日急跌后的技术反抽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A2-2 结构修复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30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higher_low_count、close&gt;MA20/60、MA20斜率、突破结构位幅度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是否出现更高低点、关键位突破与中短期结构改善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A2-3 量价参与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突破量比、5/20日成交额比、回踩缩量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上涨是否有真实成交参与，回调是否缩量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A2-4 基本面边际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revenue_yoy、profit_yoy、经营现金流趋势及其相对上一报告期变化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强调“不再恶化/边际改善”，不要求绝对高增长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A2-5 下行结构风险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距结构失效位、ATR、近期跳空/极端波动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即使修复成立，若失效位太远或波动异常则降分</w:t>
            </w:r>
          </w:p>
        </w:tc>
      </w:tr>
    </w:tbl>
    <w:p>
      <w:pPr>
        <w:spacing w:after="0"/>
      </w:pPr>
    </w:p>
    <w:p>
      <w:pPr>
        <w:pStyle w:val="Heading3"/>
        <w:spacing w:after="100" w:line="288" w:lineRule="auto"/>
      </w:pPr>
      <w:r>
        <w:rPr>
          <w:rFonts w:ascii="Noto Sans CJK SC" w:hAnsi="Noto Sans CJK SC" w:eastAsia="Noto Sans CJK SC"/>
        </w:rPr>
        <w:t>A 池建议计算细节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base_duration：从最近一次 120/250 日显著低点后进入横向震荡区间的持续交易日；V1 可先用“近 60 日振幅明显低于此前 120 日”的近似算法。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higher_low_count：最近 60～120 日识别局部低点（例如左右各 3 个交易日），统计连续抬高的有效低点数。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基本面边际改善只作为加减分，不作为单一硬淘汰条件。亏损企业可以入 A 池，但若收入、利润、经营现金流同时继续恶化则明显扣分。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财报缺失或新近没有可比报告期时，对该子项做“缺失并权重重分配”，不得按 0 分处理。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6.4 B 池质量评分（强趋势中的正常调整）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rHeight w:hRule="atLeast"/>
          <w:tblHeader w:val="true"/>
          <w:cantSplit/>
        </w:trPr>
        <w:tc>
          <w:tcPr>
            <w:tcW w:type="dxa" w:w="175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子项</w:t>
            </w:r>
          </w:p>
        </w:tc>
        <w:tc>
          <w:tcPr>
            <w:tcW w:type="dxa" w:w="8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权重</w:t>
            </w:r>
          </w:p>
        </w:tc>
        <w:tc>
          <w:tcPr>
            <w:tcW w:type="dxa" w:w="351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变量</w:t>
            </w:r>
          </w:p>
        </w:tc>
        <w:tc>
          <w:tcPr>
            <w:tcW w:type="dxa" w:w="34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解释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B2-1 原趋势质量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30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close_adj vs MA60/120/250、MA120 slope、RS120、trend_efficiency_120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先确认原上涨趋势确实存在且不是偶发暴涨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B2-2 回调深度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drawdown_from_swing_high、ATR 标准化回撤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正常调整应“足够释放”但不破坏长期结构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B2-3 回调量价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pullback_amount_ratio、down_days_volume / up_days_volume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缩量回调优于放量下杀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B2-4 关键结构存活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是否守住 MA120/关键前低/主升段起点；周线结构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结构破坏是少数可硬 FAIL 的条件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B2-5 恢复迹象</w:t>
            </w:r>
          </w:p>
        </w:tc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MA20重新转上、短期 higher low、收复短期平台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为 L4 触发提前提供质量信息</w:t>
            </w:r>
          </w:p>
        </w:tc>
      </w:tr>
    </w:tbl>
    <w:p>
      <w:pPr>
        <w:spacing w:after="0"/>
      </w:pPr>
    </w:p>
    <w:p>
      <w:pPr>
        <w:pStyle w:val="Heading3"/>
        <w:spacing w:after="100" w:line="288" w:lineRule="auto"/>
      </w:pPr>
      <w:r>
        <w:rPr>
          <w:rFonts w:ascii="Noto Sans CJK SC" w:hAnsi="Noto Sans CJK SC" w:eastAsia="Noto Sans CJK SC"/>
        </w:rPr>
        <w:t>B 池 V1 结构失效建议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若 close_adj 连续 3 日低于 MA250 且 MA120 已明显向下，premise_valid=False。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若从最近 120 日高点回撤超过 max(35%, 6×ATR20/close) 且无法在 10 日内收复关键结构，判为趋势破坏候选；最终阈值需历史验证。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如果回调期间成交额显著放大并伴随连续大阴线，不立即硬剔除，但对 B2-3 大幅扣分。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6.5 C 池实现方式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由于 C 池的既有业务定义应以当前代码/已有设计文档为准，本文件不擅自重定义 C 池。实现上必须提供 PoolQualityStrategy 接口：AQualityStrategy、BQualityStrategy、CQualityStrategy 各自计算 pool_quality_score 和 premise_valid；C 池直接把现有逻辑需要的特征接入同一接口，避免把三池强行做成一套评分。</w:t>
      </w: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7. L3 横向强度与行业共振排名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7.1 这是整个二次筛选的核心层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到了 L3，候选股大多已经“说得通”。这一层不再问是否符合某个形态，而是把同一交易日所有可比股票放在一起回答：谁更强、谁更快、谁所在的行业更强、谁是行业内部的领先者。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7.2 标准化方式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所有横截面指标优先转换为 0～100 百分位 rank_pct，而不是直接比较原始数值。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百分位计算只使用当日 L1 通过、数据完整的可交易股票作为 universe，避免 ST/停牌股票扭曲分布。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极端值先做 winsorize（默认 1% / 99%），再计算百分位。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同时保存三个排名：全市场百分位、池内百分位、申万二级行业内百分位。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7.3 个股强度指标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rHeight w:hRule="atLeast"/>
          <w:tblHeader w:val="true"/>
          <w:cantSplit/>
        </w:trPr>
        <w:tc>
          <w:tcPr>
            <w:tcW w:type="dxa" w:w="243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变量</w:t>
            </w:r>
          </w:p>
        </w:tc>
        <w:tc>
          <w:tcPr>
            <w:tcW w:type="dxa" w:w="425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公式/定义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意义</w:t>
            </w:r>
          </w:p>
        </w:tc>
      </w:tr>
      <w:tr>
        <w:trPr>
          <w:trHeight w:hRule="atLeast"/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ret_20 / 60 / 120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复权价格窗口收益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不同时间尺度的价格强度</w:t>
            </w:r>
          </w:p>
        </w:tc>
      </w:tr>
      <w:tr>
        <w:trPr>
          <w:trHeight w:hRule="atLeast"/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rs_all_20 / 60 / 120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对应收益在全市场的百分位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全市场相对强度</w:t>
            </w:r>
          </w:p>
        </w:tc>
      </w:tr>
      <w:tr>
        <w:trPr>
          <w:trHeight w:hRule="atLeast"/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rs_industry_20 / 60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收益在申万二级同行中的百分位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行业内部领涨程度</w:t>
            </w:r>
          </w:p>
        </w:tc>
      </w:tr>
      <w:tr>
        <w:trPr>
          <w:trHeight w:hRule="atLeast"/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trend_efficiency_60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|P_t-P_t-60| / Σ|ΔP|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区分平滑趋势与高噪声乱涨</w:t>
            </w:r>
          </w:p>
        </w:tc>
      </w:tr>
      <w:tr>
        <w:trPr>
          <w:trHeight w:hRule="atLeast"/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distance_high_120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close / rolling_high120 - 1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距离阶段高点，识别领先/滞后</w:t>
            </w:r>
          </w:p>
        </w:tc>
      </w:tr>
      <w:tr>
        <w:trPr>
          <w:trHeight w:hRule="atLeast"/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amount_expand_5_20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MA(amount,5)/MA(amount,20)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成交参与是否升温</w:t>
            </w:r>
          </w:p>
        </w:tc>
      </w:tr>
      <w:tr>
        <w:trPr>
          <w:trHeight w:hRule="atLeast"/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up_volume_quality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上涨日成交额 / 下跌日成交额（窗口内）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量价质量</w:t>
            </w:r>
          </w:p>
        </w:tc>
      </w:tr>
    </w:tbl>
    <w:p>
      <w:pPr>
        <w:spacing w:after="0"/>
      </w:pP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7.4 L3 分数建议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rHeight w:hRule="atLeast"/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子分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权重</w:t>
            </w:r>
          </w:p>
        </w:tc>
        <w:tc>
          <w:tcPr>
            <w:tcW w:type="dxa" w:w="612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组成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Stock Strength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45%</w:t>
            </w:r>
          </w:p>
        </w:tc>
        <w:tc>
          <w:tcPr>
            <w:tcW w:type="dxa" w:w="612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rs_all_20 10 + rs_all_60 15 + rs_all_120 10 + rs_industry_60 10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Industry Strength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30%</w:t>
            </w:r>
          </w:p>
        </w:tc>
        <w:tc>
          <w:tcPr>
            <w:tcW w:type="dxa" w:w="612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二级行业 20/60 日强度 + breadth_ma20/60 + median_stock_rs60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Trend / Participation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25%</w:t>
            </w:r>
          </w:p>
        </w:tc>
        <w:tc>
          <w:tcPr>
            <w:tcW w:type="dxa" w:w="612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trend_efficiency_60 + distance_high_120 + amount_expand_5_20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L3 综合分 l3_strength_score = 0.45×StockStrength + 0.30×IndustryStrength + 0.25×TrendParticipation。V1 建议只把分数明显落后的候选（例如 &lt; 40）判 FAIL；40～60 低优先级，≥60 进入 L4。最终阈值需通过“淘汰后表现”验证。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7.5 不做行业配额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L3 不限制某个行业最多进入几只。若市场主线高度集中，系统应该忠实地显示“前 20 名中 12 只来自半导体”，而不是为了看起来分散而人为换入弱股票。行业集中度只产生警告；真正的行业风险上限留给组合模块。</w:t>
      </w: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8. L4 交易触发与时机成熟度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8.1 输出不是简单 PASS/FAIL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rHeight w:hRule="atLeast"/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状态</w:t>
            </w:r>
          </w:p>
        </w:tc>
        <w:tc>
          <w:tcPr>
            <w:tcW w:type="dxa" w:w="45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含义</w:t>
            </w:r>
          </w:p>
        </w:tc>
        <w:tc>
          <w:tcPr>
            <w:tcW w:type="dxa" w:w="328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后续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READY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质量、强度已满足，且出现可定义的触发/重新转强信号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进入 L5 当前机会榜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WATCH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股票很好，但触发尚未完成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保留在重点观察名单，不算淘汰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OVEREXTENDED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已经触发但离合理入场/均线/结构位过远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DEFER，等待回踩或新结构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INVALIDATED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关键结构被破坏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FAIL，并记录失效原因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DATA_MISSING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关键触发数据不足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不进入 L5</w:t>
            </w:r>
          </w:p>
        </w:tc>
      </w:tr>
    </w:tbl>
    <w:p>
      <w:pPr>
        <w:spacing w:after="0"/>
      </w:pP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8.2 A 池触发评分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rHeight w:hRule="atLeast"/>
          <w:tblHeader w:val="true"/>
          <w:cantSplit/>
        </w:trPr>
        <w:tc>
          <w:tcPr>
            <w:tcW w:type="dxa" w:w="198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子项</w:t>
            </w:r>
          </w:p>
        </w:tc>
        <w:tc>
          <w:tcPr>
            <w:tcW w:type="dxa" w:w="96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权重</w:t>
            </w:r>
          </w:p>
        </w:tc>
        <w:tc>
          <w:tcPr>
            <w:tcW w:type="dxa" w:w="669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计算建议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结构突破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30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close_adj 突破 pool 提供的 reference_breakout_level；若没有则用前 20/60 日平台高点近似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突破量能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突破日 amount / MA20(amount)，建议 1.2 以上开始加分，非硬阈值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突破后回踩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若已突破：回踩不有效跌破结构位，且回踩成交额收缩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短期重新转强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收盘重新站上 MA20、突破前 5 日高点、短期 higher low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不过度延伸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(close - MA20)/ATR20 或 (close-breakout)/ATR20；过远扣分</w:t>
            </w:r>
          </w:p>
        </w:tc>
      </w:tr>
    </w:tbl>
    <w:p>
      <w:pPr>
        <w:spacing w:after="0"/>
      </w:pP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8.3 B 池触发评分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rHeight w:hRule="atLeast"/>
          <w:tblHeader w:val="true"/>
          <w:cantSplit/>
        </w:trPr>
        <w:tc>
          <w:tcPr>
            <w:tcW w:type="dxa" w:w="198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子项</w:t>
            </w:r>
          </w:p>
        </w:tc>
        <w:tc>
          <w:tcPr>
            <w:tcW w:type="dxa" w:w="96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权重</w:t>
            </w:r>
          </w:p>
        </w:tc>
        <w:tc>
          <w:tcPr>
            <w:tcW w:type="dxa" w:w="669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计算建议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回调结构仍有效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25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没有跌破 L2 定义的 structural_stop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回调缩量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回调阶段平均成交额 / 前一上涨段平均成交额 &lt; 1，越低越加分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重新站回短均线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close &gt; MA20，且 MA20 斜率由负转平/转正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突破短期反弹高点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25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close &gt; previous_5d_or_10d_high，或突破回调下降趋势线的可计算近似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恢复量能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转强日成交额相对 MA20 扩张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不过度延伸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离 MA20/结构位过远则降分</w:t>
            </w:r>
          </w:p>
        </w:tc>
      </w:tr>
    </w:tbl>
    <w:p>
      <w:pPr>
        <w:spacing w:after="0"/>
      </w:pP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8.4 ATR 标准化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所有“突破多少”“离均线多远”“止损距离多大”等条件尽量同时保存百分比和 ATR 倍数。不同股票波动率差异很大，单纯用固定 5% / 10% 会对高波动与低波动股票产生系统性偏差。ATR20 使用复权 OHLC 计算。</w:t>
      </w: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9. L5 最终机会评分与研究名单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9.1 Opportunity Score 的定位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Opportunity Score 不是“上涨概率”，也不是预测未来收益率的承诺。它是当前系统证据的综合优先级：池内前提质量、横向强度、行业共振、触发成熟度、风险距离和市场状态共同决定。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9.2 V1 建议权重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rHeight w:hRule="atLeast"/>
          <w:tblHeader w:val="true"/>
          <w:cantSplit/>
        </w:trPr>
        <w:tc>
          <w:tcPr>
            <w:tcW w:type="dxa" w:w="8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池</w:t>
            </w:r>
          </w:p>
        </w:tc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池质量</w:t>
            </w:r>
          </w:p>
        </w:tc>
        <w:tc>
          <w:tcPr>
            <w:tcW w:type="dxa" w:w="175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个股强度</w:t>
            </w:r>
          </w:p>
        </w:tc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行业</w:t>
            </w:r>
          </w:p>
        </w:tc>
        <w:tc>
          <w:tcPr>
            <w:tcW w:type="dxa" w:w="141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触发</w:t>
            </w:r>
          </w:p>
        </w:tc>
        <w:tc>
          <w:tcPr>
            <w:tcW w:type="dxa" w:w="147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风险/空间</w:t>
            </w:r>
          </w:p>
        </w:tc>
        <w:tc>
          <w:tcPr>
            <w:tcW w:type="dxa" w:w="102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市场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 池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L2质量 20%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L3个股强度 20%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行业强度 15%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L4触发 25%</w:t>
            </w:r>
          </w:p>
        </w:tc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风险/空间 15%</w:t>
            </w:r>
          </w:p>
        </w:tc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市场适配 5%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 池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L2趋势/回调质量 25%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L3个股强度 20%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行业强度 15%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L4触发 20%</w:t>
            </w:r>
          </w:p>
        </w:tc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风险/空间 15%</w:t>
            </w:r>
          </w:p>
        </w:tc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市场适配 5%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 池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由 CQualityStrategy 配置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默认沿用通用 L3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默认 15%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由 CTriggerStrategy 配置</w:t>
            </w:r>
          </w:p>
        </w:tc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默认 15%</w:t>
            </w:r>
          </w:p>
        </w:tc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默认 5%</w:t>
            </w:r>
          </w:p>
        </w:tc>
      </w:tr>
    </w:tbl>
    <w:p>
      <w:pPr>
        <w:spacing w:after="0"/>
      </w:pP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9.3 风险/空间分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先由各池提供 structural_stop（交易逻辑失效位），计算 stop_distance_pct 与 stop_distance_atr。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A 池若上方存在近 250 日明确阻力，计算 upside_to_resistance；若已进入价格发现/无明显阻力，则不强造目标价，改用“不过度延伸 + 止损距离可控”评分。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B 池优先使用“回到前高”的空间作为第一参考，同时保留突破前高后的趋势开放空间，不把前高当作必然止盈价。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止损距离很远会降低分数，因为同样 10 万资金与固定单笔风险下会显著压缩可买仓位。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9.4 市场状态适配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从既有 F02 市场状态识别模块读取 M0～M5，仅作为小权重调整，不作为强行开关。示例：B 池在 M1/M2 得分更高，在 M5 明显降分；A 池在 M4/M2 可加分。具体映射放入配置文件，禁止写死在代码。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9.5 榜单输出规则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“当前机会名单”：仅 L4=READY 且 Opportunity Score ≥ 70（V1 初值）；全池统一排名，默认最多显示 20，只是 UI 上限。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“Top 10 重点研究”：当前机会名单前 10 名，高亮显示，不代表必须买 10 只。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“重点观察名单”：L4=WATCH 且 Opportunity Score（不含触发或用低触发分）较高的股票，用于等待下一次触发。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如果当日只有 3 只达到最低条件，就只显示 3 只；如果 0 只，明确显示“今日无符合条件的当前机会”。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不设置每池最低/最高名额。页面只展示 A/B/C 分布和申万行业集中度。</w:t>
      </w: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10. A/B/C 三池的差异化实现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10.1 共用骨架，不共用业务含义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三个池必须复用同一条技术流水线和同一套审计框架，但 L2、L4 和 L5 权重允许完全不同。不要写大量 if pool == "A" / "B" 散落在业务代码中。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10.2 建议策略接口</w:t>
      </w:r>
    </w:p>
    <w:p>
      <w:pPr>
        <w:spacing w:after="120"/>
        <w:ind w:left="340"/>
      </w:pPr>
      <w:r>
        <w:rPr>
          <w:rFonts w:ascii="Noto Sans Mono CJK SC" w:hAnsi="Noto Sans Mono CJK SC" w:eastAsia="Noto Sans Mono CJK SC"/>
          <w:sz w:val="17"/>
        </w:rPr>
        <w:t>PoolStrategy</w:t>
        <w:br/>
        <w:t>├── compute_quality(context) -&gt; QualityResult       # L2</w:t>
        <w:br/>
        <w:t>├── compute_trigger(context) -&gt; TriggerResult       # L4</w:t>
        <w:br/>
        <w:t>├── compute_risk_space(context) -&gt; RiskSpaceResult  # L5</w:t>
        <w:br/>
        <w:t>├── opportunity_weights(config) -&gt; Weights</w:t>
        <w:br/>
        <w:t>└── explain(result) -&gt; reason_codes / human_text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10.3 共用因子层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MA、ATR、窗口收益、RS 百分位、申万行业归属、行业广度、成交额扩张、财务 Point-in-Time 快照等应由统一 Factor Service 生成；策略层只组合这些因子，不重复自己算一套，以避免指标口径漂移。</w:t>
      </w: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11. 可审计、可解释与历史回放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11.1 强制要求：任何股票都不能“神秘消失”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每个 L0 候选都必须在本次 run 的阶段快照中出现。即使 L1 已 FAIL，后续阶段可标记 NOT_EVALUATED，但不能没有记录。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11.2 单股审计轨迹示例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rHeight w:hRule="atLeast"/>
          <w:tblHeader w:val="true"/>
          <w:cantSplit/>
        </w:trPr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阶段</w:t>
            </w:r>
          </w:p>
        </w:tc>
        <w:tc>
          <w:tcPr>
            <w:tcW w:type="dxa" w:w="141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状态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分数/池</w:t>
            </w:r>
          </w:p>
        </w:tc>
        <w:tc>
          <w:tcPr>
            <w:tcW w:type="dxa" w:w="527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解释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L0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A池</w:t>
            </w:r>
          </w:p>
        </w:tc>
        <w:tc>
          <w:tcPr>
            <w:tcW w:type="dxa" w:w="5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符合既有 A 池入池逻辑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L1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  <w:tc>
          <w:tcPr>
            <w:tcW w:type="dxa" w:w="5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20日成交额中位数 2.8亿元；上市 812 日；非 ST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L2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68.4</w:t>
            </w:r>
          </w:p>
        </w:tc>
        <w:tc>
          <w:tcPr>
            <w:tcW w:type="dxa" w:w="5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结构修复 78；基本面边际 55；下行风险 62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L3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74.2</w:t>
            </w:r>
          </w:p>
        </w:tc>
        <w:tc>
          <w:tcPr>
            <w:tcW w:type="dxa" w:w="5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RS60 全市场 86%；申万二级行业 91%；行业强度 70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L4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WATCH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58.1</w:t>
            </w:r>
          </w:p>
        </w:tc>
        <w:tc>
          <w:tcPr>
            <w:tcW w:type="dxa" w:w="5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尚未突破结构位；距离结构位 -1.1 ATR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L5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NOT_EVALUATED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  <w:tc>
          <w:tcPr>
            <w:tcW w:type="dxa" w:w="5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等待 L4 READY</w:t>
            </w:r>
          </w:p>
        </w:tc>
      </w:tr>
    </w:tbl>
    <w:p>
      <w:pPr>
        <w:spacing w:after="0"/>
      </w:pP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11.3 原因码与人类可读解释同时保存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数据库保存稳定 reason_code（用于统计和回测），前端再根据 reason_code + 指标生成中文解释。不要只保存一段自然语言，因为后续无法统计“有多少股票因为 L1_LOW_LIQUIDITY 被淘汰”。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11.4 历史回放页面必须支持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选择历史 trade_date，恢复当日漏斗数量和榜单。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查看某股票当天在哪一层被 FAIL/DEFER、当时指标值和配置阈值。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附加“事后表现”标签（只用于研究页面，不参与当时筛选）：未来 20/40/60 日收益、最大上涨、最大回撤。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按 reason_code 聚合事后表现：例如所有因“行业弱”被淘汰的股票之后 40 日表现是否确实更差。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对比不同 config_version 在同一日期的结果。</w:t>
      </w: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12. 数据模型与数据库设计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12.1 核心表建议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rHeight w:hRule="atLeast"/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表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用途</w:t>
            </w:r>
          </w:p>
        </w:tc>
        <w:tc>
          <w:tcPr>
            <w:tcW w:type="dxa" w:w="51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关键字段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screening_run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一次完整运行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run_id, trade_date, config_version, data_version, started_at, finished_at, status, error_message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pool_candidate_snapshot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L0候选输入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run_id, ts_code, pool_code, pool_source_score, source_payload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stage_snapshot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每股每层最终状态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run_id, ts_code, pool_code, stage, status, score, rank_all, rank_pool, rank_industry, evaluated_at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stage_reason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原因码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run_id, ts_code, stage, reason_code, severity, actual_value, threshold_value, message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factor_snapshot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当日因子快照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trade_date, ts_code, factor_name, factor_value, data_quality, factor_version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industry_membership_history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历史申万归属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ts_code, l1/l2/l3_code, names, in_date, out_date, source_version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industry_factor_snapshot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行业指标快照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trade_date, industry_code, level, factors..., score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screening_config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配置版本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config_version, effective_from, yaml/json, created_at, note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forward_performance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事后验证（隔离）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trade_date, ts_code, ret_20/40/60, mfe_20/40/60, mae_20/40/60</w:t>
            </w:r>
          </w:p>
        </w:tc>
      </w:tr>
    </w:tbl>
    <w:p>
      <w:pPr>
        <w:spacing w:after="0"/>
      </w:pP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12.2 factor_snapshot 采用“宽表还是长表”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建议：高频常用核心因子使用宽表（查询和排序快），实验性因子可额外使用长表或 JSON。不要把所有指标只塞在 metrics_json 中，否则后续回测/SQL 排序困难。stage_snapshot 可以保留 metrics_json 作为当时解释快照，但核心字段仍应结构化。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12.3 不可覆盖历史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任何运行结果、配置版本、行业历史、财务 point-in-time 快照都禁止 UPDATE 覆盖历史语义。纠错时增加 data_version / revision，并保留旧版本，保证可复现。</w:t>
      </w: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13. 数据源、Tushare 接口与本地因子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13.1 V1 数据原则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Tushare 负责提供原始行情、复权因子、每日指标、财务数据、申万行业分类/成分与行业日线；系统本地负责生成技术因子和横截面排名。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历史原始数据落库后不重复全量拉取；每日只做增量更新。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即使 5000 积分可使用 stk_factor_pro，V1 仍不把它作为核心依赖；如用于交叉校验，必须注明“验证源”，不能替代本地公式。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13.2 核心接口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rHeight w:hRule="atLeast"/>
          <w:tblHeader w:val="true"/>
          <w:cantSplit/>
        </w:trPr>
        <w:tc>
          <w:tcPr>
            <w:tcW w:type="dxa" w:w="20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接口</w:t>
            </w:r>
          </w:p>
        </w:tc>
        <w:tc>
          <w:tcPr>
            <w:tcW w:type="dxa" w:w="300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数据</w:t>
            </w:r>
          </w:p>
        </w:tc>
        <w:tc>
          <w:tcPr>
            <w:tcW w:type="dxa" w:w="238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当前最低权限/说明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用途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stock_basic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股票基础、上市/退市日期、市场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2000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L1 / 历史 universe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trade_cal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交易日历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2000级常规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窗口与调度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daily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OHLCV、成交额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基础日线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所有技术因子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adj_factor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复权因子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常规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构造 point-in-time 复权价格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daily_basic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换手率、流通/总市值、limit_status 等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2000；5000无总量限制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L1、流动性、横截面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income / cashflow / balancesheet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财务三表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2000起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L2 基本面边际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fina_indicator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财务指标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2000起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L2 基本面指标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fina_audit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审计意见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2000起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可选硬风险/风险提示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index_classify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申万行业分类（一级/二级/三级）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2000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行业树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index_member_all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申万历史成分，含 in/out date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2000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历史行业归属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sw_daily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申万行业日线（默认2021版）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5000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L3 行业收益与量价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share_float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限售解禁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3000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V1.1 可选风险因子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moneyflow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个股资金流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2000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研究项，不进入 V1 核心评分</w:t>
            </w:r>
          </w:p>
        </w:tc>
      </w:tr>
    </w:tbl>
    <w:p>
      <w:pPr>
        <w:spacing w:after="0"/>
      </w:pP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13.3 本地因子计算清单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价格：MA5/10/20/60/120/250、窗口收益、滚动高低点、回撤、局部高低点、趋势效率。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波动：TR、ATR20、收益波动率、gap、极端波动天数。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量价：amount MA、量比、上涨/下跌日成交额比、突破量、回踩缩量。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横截面：全市场/池内/申万二级行业百分位。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行业：行业收益、行业 RS、MA 广度、新高广度、成分股 RS 中位数、成交额扩张。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财务：最新已公告报告期快照、同比指标、相对上一可比报告期的边际变化。</w:t>
      </w: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14. Point-in-Time / 防未来函数规范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trHeight w:hRule="atLeast"/>
          <w:cantSplit/>
        </w:trPr>
        <w:tc>
          <w:tcPr>
            <w:tcW w:type="dxa" w:w="9858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</w:rPr>
              <w:t>这是回测正确性的硬要求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如果这里做错，后面所有“历史成功率”和评分优化都可能是假结果。AI coder 必须把本节视为测试红线，而不是可选优化。</w:t>
            </w:r>
          </w:p>
        </w:tc>
      </w:tr>
    </w:tbl>
    <w:p>
      <w:pPr>
        <w:spacing w:after="0"/>
      </w:pP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14.1 财报数据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交易日 t 只能使用 ann_date / f_ann_date ≤ t 的财务数据。不能因为报告期是 2026Q1 就从 3 月 31 日起使用，而要从实际公告日之后使用。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存在更正/修订时，以当时可见版本为准；如果数据源无法还原修订历史，至少在 data_quality 中标记该限制。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同比/环比计算的两个报告期都必须在 t 当时已经公开。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14.2 复权价格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不要直接使用“以今天为基准的前复权价格”作为唯一历史数据。建议保存 raw OHLC + adj_factor，并构造 scale-independent 的 adjusted_price = raw_price × adj_factor。窗口收益、MA、ATR 均在该序列上计算；比例与排序不受整体缩放影响，也不需要使用未来的归一化基准。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14.3 历史股票 universe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历史回测不能只从今天仍然上市的 stock_basic(list_status=L) 开始。必须把历史上后来退市的股票也纳入当时 universe，并依据 list_date / delist_date 判断当日是否可交易，否则会产生严重幸存者偏差。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14.4 历史申万成分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使用 index_member_all 的 in_date / out_date 还原当日行业归属；禁止在 2022 年回测中直接套用 2026 年最新行业成员。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14.5 事后标签隔离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forward_performance 表（未来 20/40/60 日收益、MFE、MAE）只能在研究/验证流程读取，实时筛选服务禁止依赖该表。建议在代码层、数据库权限或模块依赖层做硬隔离。</w:t>
      </w: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15. 前端页面与交互设计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15.1 页面一：漏斗总览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顶部：交易日、config_version、data_version、运行状态、最后更新时间。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A/B/C 三池卡片：L0 数量、L1 PASS/FAIL/DEFER、L2、L3、L4 READY/WATCH、L5 Top 数量。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点击任意数字直接进入该阶段对应股票列表。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展示通过率，但用灰色提示“通过率不是目标值”。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15.2 页面二：阶段检查器（最重要）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rHeight w:hRule="atLeast"/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区域</w:t>
            </w:r>
          </w:p>
        </w:tc>
        <w:tc>
          <w:tcPr>
            <w:tcW w:type="dxa" w:w="737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要求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筛选器</w:t>
            </w:r>
          </w:p>
        </w:tc>
        <w:tc>
          <w:tcPr>
            <w:tcW w:type="dxa" w:w="73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池、阶段、状态、申万一级/二级/三级、reason_code、分数区间、股票代码/名称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表格列</w:t>
            </w:r>
          </w:p>
        </w:tc>
        <w:tc>
          <w:tcPr>
            <w:tcW w:type="dxa" w:w="73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代码、名称、池、申万L1/L2/L3、阶段状态、分数、全市场排名、行业排名、主原因、关键指标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操作</w:t>
            </w:r>
          </w:p>
        </w:tc>
        <w:tc>
          <w:tcPr>
            <w:tcW w:type="dxa" w:w="73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查看详情、加入人工关注、标记“我认为误杀/合理”、查看K线与因子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默认排序</w:t>
            </w:r>
          </w:p>
        </w:tc>
        <w:tc>
          <w:tcPr>
            <w:tcW w:type="dxa" w:w="73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FAIL 按影响最大的 reason_code / actual-threshold 差距；PASS 按阶段分数降序</w:t>
            </w:r>
          </w:p>
        </w:tc>
      </w:tr>
    </w:tbl>
    <w:p>
      <w:pPr>
        <w:spacing w:after="0"/>
      </w:pP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15.3 页面三：单股审计抽屉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L0～L5 时间线，每层显示状态、分数、排名、原因。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“原始值 → 标准化值 → 子分 → 权重 → 综合分”完整展开。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显示当日使用的配置阈值，不使用当前最新阈值解释历史结果。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显示申万一级/二级/三级行业路径和行业强度。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历史模式下附加未来表现，但明显标记“事后信息，不参与当时决策”。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15.4 页面四：最终机会榜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默认显示所有池统一 Opportunity Score 排名；可按池过滤，但不按池配额截断。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列出：Opportunity Score、L2质量、L3个股强度、行业分、L4触发分、风险/空间、市场适配、申万行业。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突出 Top 10；顶部显示“同一申万二级行业占比”和集中度警告，但不自动删股。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单独 Tab：READY 当前机会 / WATCH 重点观察 / OVEREXTENDED 等待回踩。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15.5 页面五：申万行业树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左侧按一级行业展开二级、三级；右侧显示行业强度、广度、20/60 日排名、候选股数量、进入 Top20 数量。默认二级行业排序按 ind_trend_score，而不是按名称。</w:t>
      </w: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16. 批处理流程与内部接口建议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16.1 每日流水线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同步交易日行情、daily_basic、复权因子、财务增量、申万成分变更和 sw_daily。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完成数据完整性检查，写 data_version。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计算个股技术因子、财务 point-in-time 快照、行业因子。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读取现有 A/B/C 当日候选池，写入 L0 snapshot。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执行 L1，并持久化 PASS / FAIL / DEFER / DATA_MISSING。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对 L1 PASS 执行 L2；其余股票后续阶段写 NOT_EVALUATED。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对 L2 PASS 执行 L3 横截面排名（注意排名 universe 必须确定后一次性计算）。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执行 L4 trigger state。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对 READY 计算 L5 Opportunity Score；WATCH 同步计算“观察优先级”。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持久化所有 stage_reason / factor_snapshot，发布 run。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</w:rPr>
        <w:t>后台异步（研究任务）补齐过去日期的 forward_performance；不得阻塞实时筛选。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16.2 建议内部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rHeight w:hRule="atLeast"/>
          <w:tblHeader w:val="true"/>
          <w:cantSplit/>
        </w:trPr>
        <w:tc>
          <w:tcPr>
            <w:tcW w:type="dxa" w:w="39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接口</w:t>
            </w:r>
          </w:p>
        </w:tc>
        <w:tc>
          <w:tcPr>
            <w:tcW w:type="dxa" w:w="56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用途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 /screening/runs/latest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最新成功运行摘要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 /screening/runs/{run_id}/funnel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A/B/C 各阶段数量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 /screening/runs/{run_id}/stage/{stage}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阶段股票列表，支持 status/reason/industry 过滤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 /screening/runs/{run_id}/stocks/{ts_code}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单股 L0～L5 审计轨迹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 /screening/runs/{run_id}/ranking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最终 READY / WATCH 榜单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 /screening/industries/{trade_date}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申万树与行业因子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 /screening/config/{version}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当时配置快照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POST /screening/runs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人工触发指定交易日/配置版本重跑（管理员）</w:t>
            </w:r>
          </w:p>
        </w:tc>
      </w:tr>
    </w:tbl>
    <w:p>
      <w:pPr>
        <w:spacing w:after="0"/>
      </w:pP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17. 配置、版本与阈值管理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17.1 所有参数禁止散落在代码中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包括窗口长度、流动性阈值、L2/L3 最低分、L4 触发阈值、各池权重、市场状态映射、行业小样本规则，都必须进入配置文件并生成 config_version。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17.2 示例配置结构</w:t>
      </w:r>
    </w:p>
    <w:p>
      <w:pPr>
        <w:ind w:left="283"/>
      </w:pPr>
      <w:r>
        <w:rPr>
          <w:rFonts w:ascii="Noto Sans Mono CJK SC" w:hAnsi="Noto Sans Mono CJK SC" w:eastAsia="Noto Sans Mono CJK SC"/>
          <w:sz w:val="16"/>
        </w:rPr>
        <w:t>screening:</w:t>
        <w:br/>
        <w:t xml:space="preserve">  l1:</w:t>
        <w:br/>
        <w:t xml:space="preserve">    min_listing_trade_days: 120</w:t>
        <w:br/>
        <w:t xml:space="preserve">    min_median_amount_20_cny: 30000000</w:t>
        <w:br/>
        <w:t xml:space="preserve">    exclude_st: true</w:t>
        <w:br/>
        <w:t xml:space="preserve">  l2:</w:t>
        <w:br/>
        <w:t xml:space="preserve">    pass_score: 60</w:t>
        <w:br/>
        <w:t xml:space="preserve">    fail_score: 45</w:t>
        <w:br/>
        <w:t xml:space="preserve">  l3:</w:t>
        <w:br/>
        <w:t xml:space="preserve">    pass_score: 60</w:t>
        <w:br/>
        <w:t xml:space="preserve">    fail_score: 40</w:t>
        <w:br/>
        <w:t xml:space="preserve">    winsorize_pct: [0.01, 0.99]</w:t>
        <w:br/>
        <w:t xml:space="preserve">  l4:</w:t>
        <w:br/>
        <w:t xml:space="preserve">    ready_score: 60</w:t>
        <w:br/>
        <w:t xml:space="preserve">    overextended_atr: 2.5</w:t>
        <w:br/>
        <w:t xml:space="preserve">  l5:</w:t>
        <w:br/>
        <w:t xml:space="preserve">    opportunity_min_score: 70</w:t>
        <w:br/>
        <w:t xml:space="preserve">    max_display: 20</w:t>
        <w:br/>
        <w:t>industry:</w:t>
        <w:br/>
        <w:t xml:space="preserve">  taxonomy: SW2021</w:t>
        <w:br/>
        <w:t xml:space="preserve">  primary_level: L2</w:t>
        <w:br/>
        <w:t xml:space="preserve">  min_l3_members: 10</w:t>
        <w:br/>
        <w:t xml:space="preserve">  min_coverage_ratio: 0.70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17.3 配置修改流程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每次修改产生新版本，不覆盖旧版本。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UI 展示“当前生产版本”和“实验版本”。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实验版本先做历史回放 + shadow run，不直接替换生产版本。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每个版本记录修改原因，例如“降低 L1 流动性阈值，因为复盘发现误杀较多”。</w:t>
      </w: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18. 测试、验收与回测验证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18.1 单元测试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MA、ATR、窗口收益、回撤、trend_efficiency、百分位、行业广度等公式必须有固定样本测试。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边界：停牌、刚上市、除权除息、涨跌停、缺失财务、行业变更、退市股票。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PoolStrategy 的 A/B/C 实现分别测试，不允许互相调用错误权重。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18.2 Point-in-Time 测试（红线）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构造财报公告日在交易日之后的测试数据，确认公告前无法读到该财报。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构造行业在某日发生变更，确认变更日前后归属不同。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构造后来退市股票，确认历史日期仍进入 universe。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实时筛选模块依赖图中不得出现 forward_performance。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18.3 审计完整性验收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rHeight w:hRule="atLeast"/>
          <w:tblHeader w:val="true"/>
          <w:cantSplit/>
        </w:trPr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验收项</w:t>
            </w:r>
          </w:p>
        </w:tc>
        <w:tc>
          <w:tcPr>
            <w:tcW w:type="dxa" w:w="595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要求</w:t>
            </w:r>
          </w:p>
        </w:tc>
        <w:tc>
          <w:tcPr>
            <w:tcW w:type="dxa" w:w="255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标准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A1</w:t>
            </w:r>
          </w:p>
        </w:tc>
        <w:tc>
          <w:tcPr>
            <w:tcW w:type="dxa" w:w="595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每个 L0 候选必须有 L1 snapshot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100%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A2</w:t>
            </w:r>
          </w:p>
        </w:tc>
        <w:tc>
          <w:tcPr>
            <w:tcW w:type="dxa" w:w="595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每个 FAIL/DEFER 必须至少有一个 reason_code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100%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A3</w:t>
            </w:r>
          </w:p>
        </w:tc>
        <w:tc>
          <w:tcPr>
            <w:tcW w:type="dxa" w:w="595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每个评分必须能拆到子分、权重、原始值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100%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A4</w:t>
            </w:r>
          </w:p>
        </w:tc>
        <w:tc>
          <w:tcPr>
            <w:tcW w:type="dxa" w:w="595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历史 run 可按 config_version 重现主要结果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结果一致或差异有 data_version 解释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A5</w:t>
            </w:r>
          </w:p>
        </w:tc>
        <w:tc>
          <w:tcPr>
            <w:tcW w:type="dxa" w:w="595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页面可直接筛选“某层被淘汰的全部股票”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必须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A6</w:t>
            </w:r>
          </w:p>
        </w:tc>
        <w:tc>
          <w:tcPr>
            <w:tcW w:type="dxa" w:w="595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任意股票能在 3 次点击内看到完整 L0～L5 轨迹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必须</w:t>
            </w:r>
          </w:p>
        </w:tc>
      </w:tr>
    </w:tbl>
    <w:p>
      <w:pPr>
        <w:spacing w:after="0"/>
      </w:pP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18.4 策略有效性验证：不要只看最终收益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每条过滤规则至少要做“被保留组 vs 被淘汰组”的后续表现比较，观察未来 20/40/60 日收益分布、MFE、MAE、达到 +10% / +20% 的比例等。目标不是把历史收益调到最高，而是验证规则是否稳定地提高候选质量。</w:t>
      </w:r>
    </w:p>
    <w:p>
      <w:pPr>
        <w:pStyle w:val="Heading2"/>
        <w:spacing w:after="100" w:line="288" w:lineRule="auto"/>
      </w:pPr>
      <w:r>
        <w:rPr>
          <w:rFonts w:ascii="Noto Sans CJK SC" w:hAnsi="Noto Sans CJK SC" w:eastAsia="Noto Sans CJK SC"/>
        </w:rPr>
        <w:t>18.5 防过拟合要求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参数不追求某一个最优点；优先选择相邻参数表现都合理的稳定区域。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按年份/市场状态拆分验证，不能只在某一轮牛市有效。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至少保留一段完全未参与调参的 out-of-sample 时段。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先验证“方向是否有效”，再细调权重；V1 不使用机器学习自动拟合几十个权重。</w:t>
      </w: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19. 分阶段实施顺序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rHeight w:hRule="atLeast"/>
          <w:tblHeader w:val="true"/>
          <w:cantSplit/>
        </w:trPr>
        <w:tc>
          <w:tcPr>
            <w:tcW w:type="dxa" w:w="8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阶段</w:t>
            </w:r>
          </w:p>
        </w:tc>
        <w:tc>
          <w:tcPr>
            <w:tcW w:type="dxa" w:w="187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主题</w:t>
            </w:r>
          </w:p>
        </w:tc>
        <w:tc>
          <w:tcPr>
            <w:tcW w:type="dxa" w:w="56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交付物</w:t>
            </w:r>
          </w:p>
        </w:tc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优先级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审计骨架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screening_run、stage_snapshot、reason_code、历史回放；先让现有池能完整落快照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最高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数据/因子底座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复权价格、MA/ATR/RS、申万历史归属、行业广度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最高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P3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L1 + L3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先做硬过滤与横向排名，快速解决“1000只看不过来”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P4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L2 A/B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把 A/B 池质量复核正式接入；C 通过策略接口接入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P5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L4 Trigger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READY/WATCH/OVEREXTENDED 状态与池特定触发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P6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L5 + 前端最终榜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Opportunity Score、Top10/20、行业集中警告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P7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历史验证工具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forward performance、reason_code 分组统计、配置版本对比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P8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增强因子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解禁、资金流、事件等，仅在验证确实增益后加入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后续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trHeight w:hRule="atLeast"/>
          <w:cantSplit/>
        </w:trPr>
        <w:tc>
          <w:tcPr>
            <w:tcW w:type="dxa" w:w="9858"/>
            <w:shd w:fill="EEF5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</w:rPr>
              <w:t>建议先做 P1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在任何筛选规则继续变复杂之前，先把“每一层都能看到、所有淘汰都有原因、历史能够回放”做出来。这样后续我们改任何一个阈值，都有证据判断它到底是在提高质量还是误杀。</w:t>
            </w:r>
          </w:p>
        </w:tc>
      </w:tr>
    </w:tbl>
    <w:p>
      <w:pPr>
        <w:spacing w:after="0"/>
      </w:pP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20. AI coder 实施清单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确认现有 A/B/C 候选池输出能以 trade_date + ts_code + pool_code 稳定读取，原入池逻辑不在本任务内修改。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建立 screening_run / stage_snapshot / stage_reason / config_version 等审计表。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实现 SW2021 三级行业树与历史成员关系，UI 默认 L1→L2→个股，L3 按需展开。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建立 point-in-time 因子服务：raw OHLC + adj_factor、技术因子、财务公告日快照、行业因子。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实现 L1 状态机 PASS/FAIL/DEFER/DATA_MISSING，并保存所有原因。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实现 PoolStrategy 抽象层和 A/B/C 策略类；禁止业务 if 分散。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实现 L2 A/B 质量分及 premise_valid；C 使用现有定义适配。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实现 L3 横截面 rank：全市场/池内/申万二级行业，固定当日 universe 后一次计算。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实现 L4 READY/WATCH/OVEREXTENDED/INVALIDATED。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实现 L5 Opportunity Score、统一排名、Top10/20、无固定池配额。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实现阶段检查器、单股审计轨迹、最终机会榜、申万行业树。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实现历史 trade_date 回放与 config_version 切换。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建立 forward_performance 研究表并与实时筛选模块硬隔离。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补齐单元测试、Point-in-Time 测试、审计完整性测试。</w:t>
      </w:r>
    </w:p>
    <w:p>
      <w:pPr>
        <w:spacing w:after="60"/>
        <w:ind w:left="170" w:hanging="17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上线前抽样人工核验：每层随机检查 PASS 20 只 + FAIL/DEFER 20 只，并记录误杀/误放标签。</w:t>
      </w: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附录 A. V1 默认参数建议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以下参数只是为了让第一版可运行，不能当成“已经验证有效”的结论。所有参数必须在 UI/配置中明确标注 DEFAULT_UNVALIDATED，待历史验证与人工抽检后调整。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rHeight w:hRule="atLeast"/>
          <w:tblHeader w:val="true"/>
          <w:cantSplit/>
        </w:trPr>
        <w:tc>
          <w:tcPr>
            <w:tcW w:type="dxa" w:w="34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参数</w:t>
            </w:r>
          </w:p>
        </w:tc>
        <w:tc>
          <w:tcPr>
            <w:tcW w:type="dxa" w:w="198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V1初值</w:t>
            </w:r>
          </w:p>
        </w:tc>
        <w:tc>
          <w:tcPr>
            <w:tcW w:type="dxa" w:w="425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说明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L1.min_listing_trade_days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120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排除新股价格发现期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L1.min_median_amount_20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3000万元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基础流动性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L2.fail_score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45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低于此值暂不继续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L2.pass_score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60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进入 L3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L3.fail_score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40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强度明显落后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L3.pass_score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60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进入时机评估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L3.winsorize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1% / 99%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横截面去极值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Industry.primary_level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SW L2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主行业排名口径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Industry.min_l3_members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三级小样本回退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Industry.min_coverage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70%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行业数据质量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L4.ready_score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60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触发成熟度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L4.overextended_atr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2.5 ATR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过度延伸参考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L5.opportunity_min_score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70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当前机会榜最低分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L5.max_display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仅 UI 展示上限，不强行凑数</w:t>
            </w:r>
          </w:p>
        </w:tc>
      </w:tr>
    </w:tbl>
    <w:p>
      <w:pPr>
        <w:spacing w:after="0"/>
      </w:pP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附录 B. 原因码建议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rHeight w:hRule="atLeast"/>
          <w:tblHeader w:val="true"/>
          <w:cantSplit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reason_code</w:t>
            </w:r>
          </w:p>
        </w:tc>
        <w:tc>
          <w:tcPr>
            <w:tcW w:type="dxa" w:w="141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阶段</w:t>
            </w:r>
          </w:p>
        </w:tc>
        <w:tc>
          <w:tcPr>
            <w:tcW w:type="dxa" w:w="538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说明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L1_NOT_TRADING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L1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当日无有效交易/退市/暂停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L1_ST_RISK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L1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ST/*ST/退市风险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L1_TOO_NEW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L1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上市交易日不足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L1_LOW_LIQUIDITY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L1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20日成交额中位数低于阈值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L1_TEMP_LIMITED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L1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一字涨跌停等临时不可执行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DATA_CORE_MISSING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通用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核心行情/因子缺失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L2_PREMISE_BROKEN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L2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池内核心前提结构已失效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L2_QUALITY_LOW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L2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质量分低于阈值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L3_STRENGTH_LOW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L3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横向强度低于阈值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L3_INDUSTRY_WEAK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L3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行业强度显著偏弱（用于解释/扣分，默认非单独硬杀）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L4_NOT_READY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L4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触发尚未完成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L4_OVEREXTENDED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L4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触发后过度延伸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L4_STRUCTURE_INVALID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L4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关键结构破坏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L5_SCORE_LOW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L5</w:t>
            </w:r>
          </w:p>
        </w:tc>
        <w:tc>
          <w:tcPr>
            <w:tcW w:type="dxa" w:w="53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综合机会分低于最低线</w:t>
            </w:r>
          </w:p>
        </w:tc>
      </w:tr>
    </w:tbl>
    <w:p>
      <w:pPr>
        <w:spacing w:after="0"/>
      </w:pPr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附录 C. 官方数据文档参考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以下链接用于开发时核对字段与权限。接口权限可能变化，实施时以 Tushare 官方文档最新说明为准。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8"/>
        </w:rPr>
        <w:t>申万行业分类 index_classify：</w:t>
      </w:r>
      <w:hyperlink r:id="rId11">
        <w:r>
          <w:rPr>
            <w:color w:val="1F4E79"/>
            <w:u w:val="single"/>
            <w:rFonts w:ascii="Noto Sans CJK SC" w:hAnsi="Noto Sans CJK SC" w:eastAsia="Noto Sans CJK SC"/>
          </w:rPr>
          <w:t>https://tushare.pro/document/2?doc_id=181</w:t>
        </w:r>
      </w:hyperlink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8"/>
        </w:rPr>
        <w:t>申万行业成分（分级） index_member_all：</w:t>
      </w:r>
      <w:hyperlink r:id="rId12">
        <w:r>
          <w:rPr>
            <w:color w:val="1F4E79"/>
            <w:u w:val="single"/>
            <w:rFonts w:ascii="Noto Sans CJK SC" w:hAnsi="Noto Sans CJK SC" w:eastAsia="Noto Sans CJK SC"/>
          </w:rPr>
          <w:t>https://tushare.pro/document/2?doc_id=335</w:t>
        </w:r>
      </w:hyperlink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8"/>
        </w:rPr>
        <w:t>申万行业日线 sw_daily：</w:t>
      </w:r>
      <w:hyperlink r:id="rId13">
        <w:r>
          <w:rPr>
            <w:color w:val="1F4E79"/>
            <w:u w:val="single"/>
            <w:rFonts w:ascii="Noto Sans CJK SC" w:hAnsi="Noto Sans CJK SC" w:eastAsia="Noto Sans CJK SC"/>
          </w:rPr>
          <w:t>https://tushare.pro/document/2?doc_id=327</w:t>
        </w:r>
      </w:hyperlink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8"/>
        </w:rPr>
        <w:t>Tushare 权限总表：</w:t>
      </w:r>
      <w:hyperlink r:id="rId14">
        <w:r>
          <w:rPr>
            <w:color w:val="1F4E79"/>
            <w:u w:val="single"/>
            <w:rFonts w:ascii="Noto Sans CJK SC" w:hAnsi="Noto Sans CJK SC" w:eastAsia="Noto Sans CJK SC"/>
          </w:rPr>
          <w:t>https://tushare.pro/document/1?doc_id=108</w:t>
        </w:r>
      </w:hyperlink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8"/>
        </w:rPr>
        <w:t>积分与频次权限对应表：</w:t>
      </w:r>
      <w:hyperlink r:id="rId15">
        <w:r>
          <w:rPr>
            <w:color w:val="1F4E79"/>
            <w:u w:val="single"/>
            <w:rFonts w:ascii="Noto Sans CJK SC" w:hAnsi="Noto Sans CJK SC" w:eastAsia="Noto Sans CJK SC"/>
          </w:rPr>
          <w:t>https://tushare.pro/document/1?doc_id=290</w:t>
        </w:r>
      </w:hyperlink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8"/>
        </w:rPr>
        <w:t>每日指标 daily_basic：</w:t>
      </w:r>
      <w:hyperlink r:id="rId16">
        <w:r>
          <w:rPr>
            <w:color w:val="1F4E79"/>
            <w:u w:val="single"/>
            <w:rFonts w:ascii="Noto Sans CJK SC" w:hAnsi="Noto Sans CJK SC" w:eastAsia="Noto Sans CJK SC"/>
          </w:rPr>
          <w:t>https://tushare.pro/document/2?doc_id=32</w:t>
        </w:r>
      </w:hyperlink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8"/>
        </w:rPr>
        <w:t>股票基础 stock_basic：</w:t>
      </w:r>
      <w:hyperlink r:id="rId17">
        <w:r>
          <w:rPr>
            <w:color w:val="1F4E79"/>
            <w:u w:val="single"/>
            <w:rFonts w:ascii="Noto Sans CJK SC" w:hAnsi="Noto Sans CJK SC" w:eastAsia="Noto Sans CJK SC"/>
          </w:rPr>
          <w:t>https://tushare.pro/document/2?doc_id=25</w:t>
        </w:r>
      </w:hyperlink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18"/>
        </w:rPr>
        <w:t>股票技术面因子（专业版，V1非核心依赖）：</w:t>
      </w:r>
      <w:hyperlink r:id="rId18">
        <w:r>
          <w:rPr>
            <w:color w:val="1F4E79"/>
            <w:u w:val="single"/>
            <w:rFonts w:ascii="Noto Sans CJK SC" w:hAnsi="Noto Sans CJK SC" w:eastAsia="Noto Sans CJK SC"/>
          </w:rPr>
          <w:t>https://tushare.pro/document/2?doc_id=328</w:t>
        </w:r>
      </w:hyperlink>
    </w:p>
    <w:p>
      <w:pPr>
        <w:pStyle w:val="Heading1"/>
        <w:spacing w:after="100" w:line="288" w:lineRule="auto"/>
      </w:pPr>
      <w:r>
        <w:rPr>
          <w:rFonts w:ascii="Noto Sans CJK SC" w:hAnsi="Noto Sans CJK SC" w:eastAsia="Noto Sans CJK SC"/>
        </w:rPr>
        <w:t>结论</w:t>
      </w:r>
    </w:p>
    <w:p>
      <w:pPr>
        <w:spacing w:after="100" w:line="288" w:lineRule="auto"/>
      </w:pPr>
      <w:r>
        <w:rPr>
          <w:rFonts w:ascii="Noto Sans CJK SC" w:hAnsi="Noto Sans CJK SC" w:eastAsia="Noto Sans CJK SC"/>
        </w:rPr>
        <w:t>V1 的重点不是再加几十条“神奇筛选条件”，而是建立一条可以被监督、被质疑、被回测的漏斗：L0 保留原始机会，L1 只清硬风险，L2 复核策略前提，L3 做真正的横向竞争，L4 判断时机，L5 形成统一优先级。任何一只股票从哪里掉下去、为什么掉、当时用了什么数据、后来表现怎样，都必须可追溯。只有这样，后续才能用证据逐渐把“1,000 只 → 10 只”的过程变得更可靠，而不是靠不断收紧条件凭感觉删股票。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E6E6E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E6E6E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SC" w:hAnsi="Noto Sans CJK SC" w:eastAsia="Noto Sans CJK SC"/>
        <w:color w:val="787878"/>
        <w:sz w:val="16"/>
      </w:rPr>
      <w:t>个人交易决策支持系统 · 候选池二次筛选模块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937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ushare.pro/document/2?doc_id=181" TargetMode="External"/><Relationship Id="rId12" Type="http://schemas.openxmlformats.org/officeDocument/2006/relationships/hyperlink" Target="https://tushare.pro/document/2?doc_id=335" TargetMode="External"/><Relationship Id="rId13" Type="http://schemas.openxmlformats.org/officeDocument/2006/relationships/hyperlink" Target="https://tushare.pro/document/2?doc_id=327" TargetMode="External"/><Relationship Id="rId14" Type="http://schemas.openxmlformats.org/officeDocument/2006/relationships/hyperlink" Target="https://tushare.pro/document/1?doc_id=108" TargetMode="External"/><Relationship Id="rId15" Type="http://schemas.openxmlformats.org/officeDocument/2006/relationships/hyperlink" Target="https://tushare.pro/document/1?doc_id=290" TargetMode="External"/><Relationship Id="rId16" Type="http://schemas.openxmlformats.org/officeDocument/2006/relationships/hyperlink" Target="https://tushare.pro/document/2?doc_id=32" TargetMode="External"/><Relationship Id="rId17" Type="http://schemas.openxmlformats.org/officeDocument/2006/relationships/hyperlink" Target="https://tushare.pro/document/2?doc_id=25" TargetMode="External"/><Relationship Id="rId18" Type="http://schemas.openxmlformats.org/officeDocument/2006/relationships/hyperlink" Target="https://tushare.pro/document/2?doc_id=3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A股候选池二次筛选与机会排名系统：设计与开发说明 V1.0</dc:title>
  <dc:subject>个人交易决策支持系统 - 二次筛选、排名、审计、历史验证</dc:subject>
  <dc:creator>OpenAI</dc:creator>
  <cp:keywords>A股, 候选池, 二次筛选, Opportunity Score, 申万行业, Tushare, AI coder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