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A股技术形态样本反查器</w:t>
      </w:r>
    </w:p>
    <w:p>
      <w:pPr>
        <w:jc w:val="center"/>
      </w:pPr>
      <w:r>
        <w:rPr>
          <w:b/>
          <w:color w:val="285F8F"/>
          <w:sz w:val="30"/>
        </w:rPr>
        <w:t>横盘箱体突破版 · 开发说明 V2.0</w:t>
      </w:r>
    </w:p>
    <w:p>
      <w:pPr>
        <w:jc w:val="center"/>
      </w:pPr>
      <w:r>
        <w:rPr>
          <w:sz w:val="22"/>
        </w:rPr>
        <w:t>目标：反查“长时间横向震荡 → 右端刚刚小幅放量突破”的历史股票样本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88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8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目标形态参考：重点不是“下跌后反转”，而是紫框内持续较久的横向箱体，以及右端刚刚突破。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vAlign w:val="center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V2.0 的核心变化：先证明“这里真的是一个横盘箱体”，再判断是否发生突破。此前是否大跌、是否处于年度低位，只能做辅助加分，不能主导候选排序。</w:t>
            </w:r>
          </w:p>
        </w:tc>
      </w:tr>
    </w:tbl>
    <w:p>
      <w:pPr>
        <w:spacing w:after="40"/>
      </w:pPr>
    </w:p>
    <w:p>
      <w:pPr>
        <w:pStyle w:val="Heading1"/>
      </w:pPr>
      <w:r>
        <w:t>1. 为什么重写 V1</w:t>
      </w:r>
    </w:p>
    <w:p>
      <w:r>
        <w:t>V1 的结果偏向“前面还在下跌、最近开始反转”的股票。根因不是突破条件本身，而是“横盘”定义过弱：只用区间收敛/ATR 收缩，仍可能把缓慢下跌、下跌楔形、V形反转前段误判成箱体。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问题</w:t>
            </w:r>
          </w:p>
        </w:tc>
        <w:tc>
          <w:tcPr>
            <w:tcW w:type="dxa" w:w="648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 修正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低位/弱势背景权重较高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降为辅助 Bonus；不再要求过去明显下跌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compression 小不等于横盘</w:t>
            </w:r>
          </w:p>
        </w:tc>
        <w:tc>
          <w:tcPr>
            <w:tcW w:type="dxa" w:w="64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新增箱体斜率、效率比、边界稳定、区间占用率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只找“压力位 + 突破”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先识别 25~80 日稳定箱体，再识别首次突破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容易被下跌反转样本挤占 Top 100</w:t>
            </w:r>
          </w:p>
        </w:tc>
        <w:tc>
          <w:tcPr>
            <w:tcW w:type="dxa" w:w="64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箱体质量占总分 60%，趋势性强的候选直接降级/剔除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滚动窗口固定，可能错过真实箱体长度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同时测试 25/30/40/50/60/80 日，自动选择最像箱体的窗口</w:t>
            </w:r>
          </w:p>
        </w:tc>
      </w:tr>
    </w:tbl>
    <w:p>
      <w:pPr>
        <w:spacing w:after="20"/>
      </w:pPr>
    </w:p>
    <w:p>
      <w:pPr>
        <w:pStyle w:val="Heading1"/>
      </w:pPr>
      <w:r>
        <w:t>2. V2 的目标形态定义</w:t>
      </w:r>
    </w:p>
    <w:p>
      <w:pPr>
        <w:pStyle w:val="ListBullet"/>
        <w:spacing w:after="30"/>
      </w:pPr>
      <w:r>
        <w:t>事件日前已经横向震荡较长时间，建议候选箱体长度 25~80 个交易日。</w:t>
      </w:r>
    </w:p>
    <w:p>
      <w:pPr>
        <w:pStyle w:val="ListBullet"/>
        <w:spacing w:after="30"/>
      </w:pPr>
      <w:r>
        <w:t>箱体上沿和下沿基本水平，整个箱体中心不能持续明显下移。</w:t>
      </w:r>
    </w:p>
    <w:p>
      <w:pPr>
        <w:pStyle w:val="ListBullet"/>
        <w:spacing w:after="30"/>
      </w:pPr>
      <w:r>
        <w:t>价格大部分时间都在同一上下边界之间来回运行，而不是单向下跌。</w:t>
      </w:r>
    </w:p>
    <w:p>
      <w:pPr>
        <w:pStyle w:val="ListBullet"/>
        <w:spacing w:after="30"/>
      </w:pPr>
      <w:r>
        <w:t>上沿至少被测试 2 次；下沿至少有 1~2 次有效接近/测试。</w:t>
      </w:r>
    </w:p>
    <w:p>
      <w:pPr>
        <w:pStyle w:val="ListBullet"/>
        <w:spacing w:after="30"/>
      </w:pPr>
      <w:r>
        <w:t>事件日前 3~5 日成交活跃度开始提升；突破日成交额进一步放大。</w:t>
      </w:r>
    </w:p>
    <w:p>
      <w:pPr>
        <w:pStyle w:val="ListBullet"/>
        <w:spacing w:after="30"/>
      </w:pPr>
      <w:r>
        <w:t>突破是“刚刚突破”：收盘只需略高于箱体上沿，不应已经离上沿很远。</w:t>
      </w:r>
    </w:p>
    <w:p>
      <w:pPr>
        <w:pStyle w:val="ListBullet"/>
        <w:spacing w:after="30"/>
      </w:pPr>
      <w:r>
        <w:t>此前是否经历过大跌、是否处于 250 日低位，只是可选加分，不是必要条件。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一句话验收：如果肉眼看候选图时第一感觉仍是“这是一段下跌趋势”，那 V2 算法就还没有成功；第一感觉应该是“这是一段横着走了很久的箱体”。</w:t>
            </w:r>
          </w:p>
        </w:tc>
      </w:tr>
    </w:tbl>
    <w:p>
      <w:pPr>
        <w:spacing w:after="40"/>
      </w:pPr>
    </w:p>
    <w:p>
      <w:pPr>
        <w:pStyle w:val="Heading1"/>
      </w:pPr>
      <w:r>
        <w:t>3. 核心算法：先找箱体，再找突破</w:t>
      </w:r>
    </w:p>
    <w:p>
      <w:pPr>
        <w:pStyle w:val="Heading2"/>
      </w:pPr>
      <w:r>
        <w:t>3.1 对每个事件日测试多个箱体窗口</w:t>
      </w:r>
    </w:p>
    <w:p>
      <w:r>
        <w:t>对每个股票、每个潜在事件日 t，仅使用 t-1 及以前的数据，依次测试以下窗口，并选 BoxScore 最高的那个作为该事件的“候选箱体”：</w:t>
      </w:r>
    </w:p>
    <w:p>
      <w:pPr>
        <w:pStyle w:val="CodeBlock"/>
        <w:shd w:fill="F3F4F6"/>
      </w:pPr>
      <w:r>
        <w:t>BOX_WINDOWS = [25, 30, 40, 50, 60, 80]</w:t>
        <w:br/>
        <w:t>box_end = t - 1</w:t>
        <w:br/>
        <w:t>for W in BOX_WINDOWS:</w:t>
        <w:br/>
        <w:t xml:space="preserve">    box = bars[t-W : t-1]</w:t>
        <w:br/>
        <w:t xml:space="preserve">    features = calc_box_features(box)</w:t>
        <w:br/>
        <w:t xml:space="preserve">    box_score = score_box(features)</w:t>
        <w:br/>
        <w:t>choose W with max(box_score)</w:t>
      </w:r>
    </w:p>
    <w:p>
      <w:r>
        <w:t>这样能避免真实箱体约 50 天，而固定 30 日窗口只看到最后一小段的问题。</w:t>
      </w:r>
    </w:p>
    <w:p>
      <w:pPr>
        <w:pStyle w:val="Heading2"/>
      </w:pPr>
      <w:r>
        <w:t>3.2 箱体上下沿：不要直接用单根最高/最低 K 线</w:t>
      </w:r>
    </w:p>
    <w:p>
      <w:r>
        <w:t>为降低长上影/长下影对边界的污染，建议优先使用局部高低点聚类；实现简单版可用分位数做初始边界，再用局部极值校准。</w:t>
      </w:r>
    </w:p>
    <w:p>
      <w:pPr>
        <w:pStyle w:val="CodeBlock"/>
        <w:shd w:fill="F3F4F6"/>
      </w:pPr>
      <w:r>
        <w:t>resistance0 = quantile(high, 0.90)</w:t>
        <w:br/>
        <w:t>support0    = quantile(low,  0.10)</w:t>
        <w:br/>
        <w:br/>
        <w:t>local_highs = find_local_highs(high, left=2, right=2)</w:t>
        <w:br/>
        <w:t>local_lows  = find_local_lows(low,  left=2, right=2)</w:t>
        <w:br/>
        <w:br/>
        <w:t>resistance = median(local_highs within ±2.0% of resistance0)</w:t>
        <w:br/>
        <w:t>support    = median(local_lows  within ±2.0% of support0)</w:t>
      </w:r>
    </w:p>
    <w:p>
      <w:r>
        <w:t>若局部极值数量不足，可退回 q90/q10。所有容忍度参数化。</w:t>
      </w:r>
    </w:p>
    <w:p>
      <w:pPr>
        <w:pStyle w:val="Heading2"/>
      </w:pPr>
      <w:r>
        <w:t>3.3 “真横盘箱体”的六个核心量化指标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328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计算/定义</w:t>
            </w:r>
          </w:p>
        </w:tc>
        <w:tc>
          <w:tcPr>
            <w:tcW w:type="dxa" w:w="3168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 默认判断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箱体宽度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box_width = resistance / support - 1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硬范围 5%~35%；8%~22% 得分最高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价格占用率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inside_ratio = 箱体内收盘日数 / W</w:t>
            </w:r>
          </w:p>
        </w:tc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&gt;=70% 才保留；&gt;=82% 高分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整体漂移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drift_ratio = |回归预测末值-首值| / (resistance-support)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&lt;=0.45 才保留；&lt;=0.20 高分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方向效率 ER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 = |close_end-close_start| / Σ|Δclose|</w:t>
            </w:r>
          </w:p>
        </w:tc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&lt;=0.50 才保留；&lt;=0.25 高分。越低越“横”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上沿测试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局部高点距离 resistance &lt;= 2%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&gt;=2 次；测试发生在不同时间段更高分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下沿测试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局部低点距离 support &lt;= 2%</w:t>
            </w:r>
          </w:p>
        </w:tc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 次；&gt;=2 次加分</w:t>
            </w:r>
          </w:p>
        </w:tc>
      </w:tr>
    </w:tbl>
    <w:p>
      <w:pPr>
        <w:spacing w:after="20"/>
      </w:pPr>
    </w:p>
    <w:p>
      <w:r>
        <w:t>其中最关键的是 drift_ratio 与 ER。它们专门用来排除“看起来波动缩小，但实际上仍在持续往下走”的股票。</w:t>
      </w:r>
    </w:p>
    <w:p>
      <w:pPr>
        <w:pStyle w:val="CodeBlock"/>
        <w:shd w:fill="F3F4F6"/>
      </w:pPr>
      <w:r>
        <w:t>x = 0..W-1</w:t>
        <w:br/>
        <w:t>y = close</w:t>
        <w:br/>
        <w:t>slope = OLS(y ~ x).slope</w:t>
        <w:br/>
        <w:t>pred_start = intercept</w:t>
        <w:br/>
        <w:t>pred_end = intercept + slope*(W-1)</w:t>
        <w:br/>
        <w:t>box_height = resistance - support</w:t>
        <w:br/>
        <w:t>drift_ratio = abs(pred_end - pred_start) / box_height</w:t>
        <w:br/>
        <w:br/>
        <w:t>ER = abs(close[-1] - close[0]) / sum(abs(diff(close)))</w:t>
      </w:r>
    </w:p>
    <w:p>
      <w:pPr>
        <w:pStyle w:val="Heading2"/>
      </w:pPr>
      <w:r>
        <w:t>3.4 边界稳定性与“时间覆盖”</w:t>
      </w:r>
    </w:p>
    <w:p>
      <w:r>
        <w:t>目标图不是只在最后几天形成压力位，而是同一上沿在较长时间内都有效。因此对触碰次数之外，再增加“时间覆盖”。</w:t>
      </w:r>
    </w:p>
    <w:p>
      <w:pPr>
        <w:pStyle w:val="ListBullet"/>
        <w:spacing w:after="30"/>
      </w:pPr>
      <w:r>
        <w:t>upper_touch_count &gt;= 2；若 &gt;=3，额外加分。</w:t>
      </w:r>
    </w:p>
    <w:p>
      <w:pPr>
        <w:pStyle w:val="ListBullet"/>
        <w:spacing w:after="30"/>
      </w:pPr>
      <w:r>
        <w:t>第一次上沿触碰应出现在箱体前 60% 以前；最后一次上沿触碰应出现在箱体后 50% 以后。</w:t>
      </w:r>
    </w:p>
    <w:p>
      <w:pPr>
        <w:pStyle w:val="ListBullet"/>
        <w:spacing w:after="30"/>
      </w:pPr>
      <w:r>
        <w:t>upper_touch_span = (last_upper_touch - first_upper_touch) / W；&gt;=0.35 才算“长期存在的压力位”。</w:t>
      </w:r>
    </w:p>
    <w:p>
      <w:pPr>
        <w:pStyle w:val="ListBullet"/>
        <w:spacing w:after="30"/>
      </w:pPr>
      <w:r>
        <w:t>箱体内不能连续 2 日收盘显著站上 resistance（如 &gt; resistance×1.01），否则说明此前已经突破。</w:t>
      </w:r>
    </w:p>
    <w:p>
      <w:pPr>
        <w:pStyle w:val="Heading2"/>
      </w:pPr>
      <w:r>
        <w:t>3.5 均线只做辅助确认，不让均线替代“箱体”</w:t>
      </w:r>
    </w:p>
    <w:p>
      <w:pPr>
        <w:pStyle w:val="CodeBlock"/>
        <w:shd w:fill="F3F4F6"/>
      </w:pPr>
      <w:r>
        <w:t>ma20_drift = abs(MA20[t-1] - MA20[t-11]) / box_height</w:t>
      </w:r>
    </w:p>
    <w:p>
      <w:r>
        <w:t>建议 ma20_drift &lt;= 0.30 加分，&gt;0.60 扣分；但不作为主硬门槛。原因是箱体内 MA20 会有小幅起伏，核心仍是价格本身是否横向。</w:t>
      </w:r>
    </w:p>
    <w:p>
      <w:pPr>
        <w:pStyle w:val="Heading1"/>
      </w:pPr>
      <w:r>
        <w:t>4. 事件日：必须是“第一次刚刚突破”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公式/说明</w:t>
            </w:r>
          </w:p>
        </w:tc>
        <w:tc>
          <w:tcPr>
            <w:tcW w:type="dxa" w:w="3456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有效突破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breakout_pct = close[t]/resistance - 1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硬门槛 &gt;=0.2%；0.5%~3% 高分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不能跑太远</w:t>
            </w:r>
          </w:p>
        </w:tc>
        <w:tc>
          <w:tcPr>
            <w:tcW w:type="dxa" w:w="50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同上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&gt;8% 直接排除；3%~5% 逐步降分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首次突破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过去 10 日收盘不得已持续站上 resistance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必须满足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收盘位置</w:t>
            </w:r>
          </w:p>
        </w:tc>
        <w:tc>
          <w:tcPr>
            <w:tcW w:type="dxa" w:w="50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(close-low)/(high-low)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&gt;=0.60 加分，避免冲高回落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阳线实体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(close-open)/open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&gt;0 加分，不做唯一硬条件</w:t>
            </w:r>
          </w:p>
        </w:tc>
      </w:tr>
      <w:tr>
        <w:tc>
          <w:tcPr>
            <w:tcW w:type="dxa" w:w="158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跳空限制</w:t>
            </w:r>
          </w:p>
        </w:tc>
        <w:tc>
          <w:tcPr>
            <w:tcW w:type="dxa" w:w="50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open/resistance-1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0~3% 正常；&gt;5% 扣分，避免完全跳过买点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  <w:vAlign w:val="cente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这里故意把“突破幅度过大”作为负项。我们现在要找的是截图里“刚刚越过紫色上沿”的状态，不是已经突破数日后的强势股。</w:t>
            </w:r>
          </w:p>
        </w:tc>
      </w:tr>
    </w:tbl>
    <w:p>
      <w:pPr>
        <w:spacing w:after="40"/>
      </w:pPr>
    </w:p>
    <w:p>
      <w:pPr>
        <w:pStyle w:val="Heading1"/>
      </w:pPr>
      <w:r>
        <w:t>5. 成交量：突出“提前升温 + 突破确认”</w:t>
      </w:r>
    </w:p>
    <w:p>
      <w:pPr>
        <w:pStyle w:val="CodeBlock"/>
        <w:shd w:fill="F3F4F6"/>
      </w:pPr>
      <w:r>
        <w:t>amount_base20 = median(amount[t-20:t])</w:t>
        <w:br/>
        <w:t>preheat3 = mean(amount[t-3:t]) / amount_base20</w:t>
        <w:br/>
        <w:t>preheat5 = mean(amount[t-5:t]) / amount_base20</w:t>
        <w:br/>
        <w:t>hot_days5 = count(amount[d] &gt;= 1.20 * amount_base20, d=t-5..t-1)</w:t>
        <w:br/>
        <w:t>breakout_volume = amount[t] / amount_base20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量能特征</w:t>
            </w:r>
          </w:p>
        </w:tc>
        <w:tc>
          <w:tcPr>
            <w:tcW w:type="dxa" w:w="3168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开始加分</w:t>
            </w:r>
          </w:p>
        </w:tc>
        <w:tc>
          <w:tcPr>
            <w:tcW w:type="dxa" w:w="3312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高分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突破前 3 日预热 preheat3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&gt;=1.15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&gt;=1.35</w:t>
            </w:r>
          </w:p>
        </w:tc>
      </w:tr>
      <w:tr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突破前 5 日预热 preheat5</w:t>
            </w:r>
          </w:p>
        </w:tc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&gt;=1.10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&gt;=1.30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近5日热量日 hot_days5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&gt;=2 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&gt;=3 日</w:t>
            </w:r>
          </w:p>
        </w:tc>
      </w:tr>
      <w:tr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突破日放量 breakout_volume</w:t>
            </w:r>
          </w:p>
        </w:tc>
        <w:tc>
          <w:tcPr>
            <w:tcW w:type="dxa" w:w="316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硬门槛 &gt;=1.30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&gt;=1.80；&gt;=2.20更强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突破日量能历史位置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&gt;=过去20日 80%分位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进入过去20日Top3更高分</w:t>
            </w:r>
          </w:p>
        </w:tc>
      </w:tr>
    </w:tbl>
    <w:p>
      <w:pPr>
        <w:spacing w:after="20"/>
      </w:pPr>
    </w:p>
    <w:p>
      <w:r>
        <w:t>突破前量能不要求单调递增；只要最近 3~5 日整体明显高于箱体中期的低迷水平即可。</w:t>
      </w:r>
    </w:p>
    <w:p>
      <w:pPr>
        <w:pStyle w:val="Heading1"/>
      </w:pPr>
      <w:r>
        <w:t>6. V2 相似度评分：箱体质量必须占主导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44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6048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细分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A. 横盘箱体质量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水平性20；边界/触碰15；区间占用10；持续时间10；箱体宽度5</w:t>
            </w:r>
          </w:p>
        </w:tc>
      </w:tr>
      <w:tr>
        <w:tc>
          <w:tcPr>
            <w:tcW w:type="dxa" w:w="28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B. 刚刚突破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604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有效且不过远10；首次突破5；K线收盘质量5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C. 量能配合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突破前预热10；突破日放量10</w:t>
            </w:r>
          </w:p>
        </w:tc>
      </w:tr>
      <w:tr>
        <w:tc>
          <w:tcPr>
            <w:tcW w:type="dxa" w:w="28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Bonus（不进入100分主体）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0~8</w:t>
            </w:r>
          </w:p>
        </w:tc>
        <w:tc>
          <w:tcPr>
            <w:tcW w:type="dxa" w:w="604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低位背景、行业/概念/半年报预期等，仅用于同分排序</w:t>
            </w:r>
          </w:p>
        </w:tc>
      </w:tr>
    </w:tbl>
    <w:p>
      <w:pPr>
        <w:spacing w:after="20"/>
      </w:pPr>
    </w:p>
    <w:p>
      <w:r>
        <w:t>水平性 20 分建议主要由 drift_ratio + ER 构成，例如：</w:t>
      </w:r>
    </w:p>
    <w:p>
      <w:pPr>
        <w:pStyle w:val="CodeBlock"/>
        <w:shd w:fill="F3F4F6"/>
      </w:pPr>
      <w:r>
        <w:t>HorizScore = 10 * piecewise(drift_ratio) + 10 * piecewise(ER)</w:t>
        <w:br/>
        <w:t># drift_ratio: &lt;=0.15满分，0.15~0.45线性下降，&gt;0.45=0</w:t>
        <w:br/>
        <w:t># ER:          &lt;=0.20满分，0.20~0.50线性下降，&gt;0.50=0</w:t>
      </w:r>
    </w:p>
    <w:p>
      <w:r>
        <w:t>箱体持续时间 10 分建议：25日=4分，30日=6分，40日=8分，50~70日=10分，80日=9分。目的不是越长越好，而是优先匹配截图这种“较长时间横盘”。</w:t>
      </w:r>
    </w:p>
    <w:p>
      <w:pPr>
        <w:pStyle w:val="Heading1"/>
      </w:pPr>
      <w:r>
        <w:t>7. 第一轮硬过滤：必须围绕“横盘”，而不是围绕“低位反转”</w:t>
      </w:r>
    </w:p>
    <w:p>
      <w:pPr>
        <w:pStyle w:val="CodeBlock"/>
        <w:shd w:fill="F3F4F6"/>
      </w:pPr>
      <w:r>
        <w:t>PASS_BOX if ALL:</w:t>
        <w:br/>
        <w:t xml:space="preserve">  W &gt;= 25</w:t>
        <w:br/>
        <w:t xml:space="preserve">  0.05 &lt;= box_width &lt;= 0.35</w:t>
        <w:br/>
        <w:t xml:space="preserve">  inside_ratio &gt;= 0.70</w:t>
        <w:br/>
        <w:t xml:space="preserve">  drift_ratio &lt;= 0.45</w:t>
        <w:br/>
        <w:t xml:space="preserve">  ER &lt;= 0.50</w:t>
        <w:br/>
        <w:t xml:space="preserve">  upper_touch_count &gt;= 2</w:t>
        <w:br/>
        <w:t xml:space="preserve">  upper_touch_span &gt;= 0.35</w:t>
        <w:br/>
        <w:br/>
        <w:t>PASS_EVENT if ALL:</w:t>
        <w:br/>
        <w:t xml:space="preserve">  breakout_pct &gt;= 0.002</w:t>
        <w:br/>
        <w:t xml:space="preserve">  breakout_pct &lt;= 0.08</w:t>
        <w:br/>
        <w:t xml:space="preserve">  no_prior_breakout_10d == True</w:t>
        <w:br/>
        <w:t xml:space="preserve">  breakout_volume &gt;= 1.30</w:t>
      </w:r>
    </w:p>
    <w:p>
      <w:r>
        <w:t>以下条件在 V2 中明确禁止作为硬过滤：</w:t>
      </w:r>
    </w:p>
    <w:p>
      <w:pPr>
        <w:pStyle w:val="ListBullet"/>
        <w:spacing w:after="30"/>
      </w:pPr>
      <w:r>
        <w:t>过去 120/250 日必须下跌多少；</w:t>
      </w:r>
    </w:p>
    <w:p>
      <w:pPr>
        <w:pStyle w:val="ListBullet"/>
        <w:spacing w:after="30"/>
      </w:pPr>
      <w:r>
        <w:t>必须接近 250 日最低点；</w:t>
      </w:r>
    </w:p>
    <w:p>
      <w:pPr>
        <w:pStyle w:val="ListBullet"/>
        <w:spacing w:after="30"/>
      </w:pPr>
      <w:r>
        <w:t>MA20 必须已经拐头向上；</w:t>
      </w:r>
    </w:p>
    <w:p>
      <w:pPr>
        <w:pStyle w:val="ListBullet"/>
        <w:spacing w:after="30"/>
      </w:pPr>
      <w:r>
        <w:t>RS60 必须进入市场前多少；</w:t>
      </w:r>
    </w:p>
    <w:p>
      <w:pPr>
        <w:pStyle w:val="ListBullet"/>
        <w:spacing w:after="30"/>
      </w:pPr>
      <w:r>
        <w:t>必须是 A 池或 A-Pre；</w:t>
      </w:r>
    </w:p>
    <w:p>
      <w:r>
        <w:t>这些条件都可能有研究价值，但会改变本次“找截图对应股票”的问题定义。</w:t>
      </w:r>
    </w:p>
    <w:p>
      <w:pPr>
        <w:pStyle w:val="Heading1"/>
      </w:pPr>
      <w:r>
        <w:t>8. 历史扫描方式与去重</w:t>
      </w:r>
    </w:p>
    <w:p>
      <w:r>
        <w:t>直播日期为 2026-08-10，但图中明确可能是历史案例。本次建议直接扫描 2026-01-01 至 2026-08-10 的所有交易日，不要只扫最近 60~90 日。</w:t>
      </w:r>
    </w:p>
    <w:p>
      <w:pPr>
        <w:pStyle w:val="CodeBlock"/>
        <w:shd w:fill="F3F4F6"/>
      </w:pPr>
      <w:r>
        <w:t>for t in trade_dates(start="2026-01-01", end="2026-08-10"):</w:t>
        <w:br/>
        <w:t xml:space="preserve">    for stock in universe:</w:t>
        <w:br/>
        <w:t xml:space="preserve">        best_box = find_best_box(stock, t, BOX_WINDOWS)</w:t>
        <w:br/>
        <w:t xml:space="preserve">        if not pass_box(best_box): continue</w:t>
        <w:br/>
        <w:t xml:space="preserve">        event = calc_breakout(stock, t, best_box)</w:t>
        <w:br/>
        <w:t xml:space="preserve">        if not pass_event(event): continue</w:t>
        <w:br/>
        <w:t xml:space="preserve">        score = box_score*0.60 + breakout_score*0.20 + volume_score*0.20</w:t>
        <w:br/>
        <w:t xml:space="preserve">        save(stock, t, best_box, event, score)</w:t>
      </w:r>
    </w:p>
    <w:p>
      <w:r>
        <w:t>同一股票可能连续 2~3 天都在上沿附近。结果必须按“同一股票 + 同一箱体”聚类，只保留首次有效突破日，避免 Top N 被重复事件占满。</w:t>
      </w:r>
    </w:p>
    <w:p>
      <w:pPr>
        <w:pStyle w:val="Heading1"/>
      </w:pPr>
      <w:r>
        <w:t>9. 输出：必须让人工一眼判断“像不像目标图”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7200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strict_candidates.csv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满足全部横盘硬条件的全部事件，不只 Top100</w:t>
            </w:r>
          </w:p>
        </w:tc>
      </w:tr>
      <w:tr>
        <w:tc>
          <w:tcPr>
            <w:tcW w:type="dxa" w:w="28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top300_candidates.csv</w:t>
            </w:r>
          </w:p>
        </w:tc>
        <w:tc>
          <w:tcPr>
            <w:tcW w:type="dxa" w:w="72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按总分排序的 Top300，避免目标因细节差异落在100名之后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near_miss_box.csv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突破/放量很像，但仅差 1 项箱体硬条件的近失配事件，附 reject_reason</w:t>
            </w:r>
          </w:p>
        </w:tc>
      </w:tr>
      <w:tr>
        <w:tc>
          <w:tcPr>
            <w:tcW w:type="dxa" w:w="288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charts/</w:t>
            </w:r>
          </w:p>
        </w:tc>
        <w:tc>
          <w:tcPr>
            <w:tcW w:type="dxa" w:w="7200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Top300 自动画 90~120 日 K线 + 成交额；标出 box_start、support、resistance、event_date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summary.html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按卡片显示 K线图、总分、BoxScore、BreakoutScore、VolumeScore、关键参数</w:t>
            </w:r>
          </w:p>
        </w:tc>
      </w:tr>
    </w:tbl>
    <w:p>
      <w:pPr>
        <w:spacing w:after="20"/>
      </w:pPr>
    </w:p>
    <w:p>
      <w:r>
        <w:t>CSV 至少包含以下字段：</w:t>
      </w:r>
    </w:p>
    <w:p>
      <w:pPr>
        <w:pStyle w:val="CodeBlock"/>
        <w:shd w:fill="F3F4F6"/>
      </w:pPr>
      <w:r>
        <w:t>ts_code, name, trade_date, box_window, box_start, box_end,</w:t>
        <w:br/>
        <w:t>support, resistance, box_width, inside_ratio,</w:t>
        <w:br/>
        <w:t>drift_ratio, efficiency_ratio, upper_touch_count, lower_touch_count, upper_touch_span,</w:t>
        <w:br/>
        <w:t>preheat3, preheat5, hot_days5, breakout_pct, breakout_volume,</w:t>
        <w:br/>
        <w:t>close_location, body_pct, gap_pct,</w:t>
        <w:br/>
        <w:t>box_score, breakout_score, volume_score, total_score, bonus_score,</w:t>
        <w:br/>
        <w:t>reject_reason</w:t>
      </w:r>
    </w:p>
    <w:p>
      <w:pPr>
        <w:pStyle w:val="Heading1"/>
      </w:pPr>
      <w:r>
        <w:t>10. 为了这次“找具体股票”，必须保留近失配诊断</w:t>
      </w:r>
    </w:p>
    <w:p>
      <w:r>
        <w:t>如果 V2 Top300 仍然找不到目标，不要继续盲改参数。脚本应额外输出 near_miss_box.csv：事件已经满足“首次小幅突破 + 放量”，但横盘部分只失败 1 个条件。这样可以看到目标可能被哪个阈值挡住。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reject_reason</w:t>
            </w:r>
          </w:p>
        </w:tc>
        <w:tc>
          <w:tcPr>
            <w:tcW w:type="dxa" w:w="6624"/>
            <w:vAlign w:val="center"/>
            <w:shd w:fill="285F8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BOX_TREND_TOO_STRONG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drift_ratio 或 ER 太高，箱体实际带明显趋势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BOX_OCCUPANCY_LOW</w:t>
            </w:r>
          </w:p>
        </w:tc>
        <w:tc>
          <w:tcPr>
            <w:tcW w:type="dxa" w:w="662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大量收盘落在边界外，边界拟合不稳定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UPPER_TOUCH_LOW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上沿测试次数不足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TOUCH_SPAN_SHORT</w:t>
            </w:r>
          </w:p>
        </w:tc>
        <w:tc>
          <w:tcPr>
            <w:tcW w:type="dxa" w:w="662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压力位只在最后几天形成，不是长期箱体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BOX_WIDTH_INVALID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箱体过窄或过宽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NOT_FIRST_BREAKOUT</w:t>
            </w:r>
          </w:p>
        </w:tc>
        <w:tc>
          <w:tcPr>
            <w:tcW w:type="dxa" w:w="662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此前已经突破过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BREAKOUT_TOO_FAR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事件日已经离上沿太远</w:t>
            </w:r>
          </w:p>
        </w:tc>
      </w:tr>
      <w:tr>
        <w:tc>
          <w:tcPr>
            <w:tcW w:type="dxa" w:w="345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BREAKOUT_VOLUME_LOW</w:t>
            </w:r>
          </w:p>
        </w:tc>
        <w:tc>
          <w:tcPr>
            <w:tcW w:type="dxa" w:w="6624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突破日未显著放量</w:t>
            </w:r>
          </w:p>
        </w:tc>
      </w:tr>
    </w:tbl>
    <w:p>
      <w:pPr>
        <w:spacing w:after="20"/>
      </w:pPr>
    </w:p>
    <w:p>
      <w:pPr>
        <w:pStyle w:val="Heading1"/>
      </w:pPr>
      <w:r>
        <w:t>11. 候选图绘制规范</w:t>
      </w:r>
    </w:p>
    <w:p>
      <w:pPr>
        <w:pStyle w:val="ListBullet"/>
        <w:spacing w:after="30"/>
      </w:pPr>
      <w:r>
        <w:t>每张图显示事件日前至少 80 个交易日，优先 100~120 日。</w:t>
      </w:r>
    </w:p>
    <w:p>
      <w:pPr>
        <w:pStyle w:val="ListBullet"/>
        <w:spacing w:after="30"/>
      </w:pPr>
      <w:r>
        <w:t>K线区必须画 support/resistance 两条水平线，并用浅色矩形标出算法识别的 box_start~box_end。</w:t>
      </w:r>
    </w:p>
    <w:p>
      <w:pPr>
        <w:pStyle w:val="ListBullet"/>
        <w:spacing w:after="30"/>
      </w:pPr>
      <w:r>
        <w:t>事件日用竖线或标记突出。</w:t>
      </w:r>
    </w:p>
    <w:p>
      <w:pPr>
        <w:pStyle w:val="ListBullet"/>
        <w:spacing w:after="30"/>
      </w:pPr>
      <w:r>
        <w:t>成交额区画 20 日中位成交额参考线，便于看“预热”和突破放量。</w:t>
      </w:r>
    </w:p>
    <w:p>
      <w:pPr>
        <w:pStyle w:val="ListBullet"/>
        <w:spacing w:after="30"/>
      </w:pPr>
      <w:r>
        <w:t>标题显示：股票代码、名称、事件日、box_window、BoxScore、总分。</w:t>
      </w:r>
    </w:p>
    <w:p>
      <w:pPr>
        <w:pStyle w:val="ListBullet"/>
        <w:spacing w:after="30"/>
      </w:pPr>
      <w:r>
        <w:t>不要只导出数字；这次的主要验收方式就是人工肉眼与截图比图。</w:t>
      </w:r>
    </w:p>
    <w:p>
      <w:pPr>
        <w:pStyle w:val="Heading1"/>
      </w:pPr>
      <w:r>
        <w:t>12. 建议命令行接口</w:t>
      </w:r>
    </w:p>
    <w:p>
      <w:pPr>
        <w:pStyle w:val="CodeBlock"/>
        <w:shd w:fill="F3F4F6"/>
      </w:pPr>
      <w:r>
        <w:t>python reverse_box_breakout_finder.py \</w:t>
        <w:br/>
        <w:t xml:space="preserve">  --start-date 2026-01-01 \</w:t>
        <w:br/>
        <w:t xml:space="preserve">  --end-date 2026-08-10 \</w:t>
        <w:br/>
        <w:t xml:space="preserve">  --box-windows 25,30,40,50,60,80 \</w:t>
        <w:br/>
        <w:t xml:space="preserve">  --min-inside-ratio 0.70 \</w:t>
        <w:br/>
        <w:t xml:space="preserve">  --max-drift-ratio 0.45 \</w:t>
        <w:br/>
        <w:t xml:space="preserve">  --max-efficiency-ratio 0.50 \</w:t>
        <w:br/>
        <w:t xml:space="preserve">  --touch-tolerance 0.02 \</w:t>
        <w:br/>
        <w:t xml:space="preserve">  --min-upper-touches 2 \</w:t>
        <w:br/>
        <w:t xml:space="preserve">  --min-upper-touch-span 0.35 \</w:t>
        <w:br/>
        <w:t xml:space="preserve">  --min-breakout-pct 0.002 \</w:t>
        <w:br/>
        <w:t xml:space="preserve">  --max-breakout-pct 0.08 \</w:t>
        <w:br/>
        <w:t xml:space="preserve">  --min-breakout-volume 1.30 \</w:t>
        <w:br/>
        <w:t xml:space="preserve">  --export-top 300 \</w:t>
        <w:br/>
        <w:t xml:space="preserve">  --export-near-miss true \</w:t>
        <w:br/>
        <w:t xml:space="preserve">  --export-charts true</w:t>
      </w:r>
    </w:p>
    <w:p>
      <w:pPr>
        <w:pStyle w:val="Heading1"/>
      </w:pPr>
      <w:r>
        <w:t>13. 本次验收标准</w:t>
      </w:r>
    </w:p>
    <w:p>
      <w:pPr>
        <w:pStyle w:val="ListBullet"/>
        <w:spacing w:after="30"/>
      </w:pPr>
      <w:r>
        <w:t>Top50 随机看图时，绝大多数应该是“横盘箱体后突破”，而不是“下跌后反转”。</w:t>
      </w:r>
    </w:p>
    <w:p>
      <w:pPr>
        <w:pStyle w:val="ListBullet"/>
        <w:spacing w:after="30"/>
      </w:pPr>
      <w:r>
        <w:t>目标截图对应股票即使不能排进 Top20，也应优先争取进入 strict 全量候选、Top300 或 near_miss 三者之一。</w:t>
      </w:r>
    </w:p>
    <w:p>
      <w:pPr>
        <w:pStyle w:val="ListBullet"/>
        <w:spacing w:after="30"/>
      </w:pPr>
      <w:r>
        <w:t>候选图中的 support/resistance 和人眼看到的箱体上下沿应大体一致。</w:t>
      </w:r>
    </w:p>
    <w:p>
      <w:pPr>
        <w:pStyle w:val="ListBullet"/>
        <w:spacing w:after="30"/>
      </w:pPr>
      <w:r>
        <w:t>如果大量候选的箱体仍明显向下倾斜，优先收紧 drift_ratio / ER，而不是增加“低位/均线”条件。</w:t>
      </w:r>
    </w:p>
    <w:p>
      <w:pPr>
        <w:pStyle w:val="ListBullet"/>
        <w:spacing w:after="30"/>
      </w:pPr>
      <w:r>
        <w:t>如果候选太少，优先放宽 inside_ratio、touch_span、breakout_volume；不要先放宽“水平性”，否则又会退化成 V1。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vAlign w:val="center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开发边界：V2 仍然只是独立研究工具。找到目标股票后，再倒推突破前 3~10 日，检查 A-Pre 应该在哪一天发现它；不要在本次开发中直接修改正式 A-Pre/L0~L5。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A股技术形态样本反查器 · 横盘箱体突破版 V2.0</w:t>
    </w:r>
    <w:r>
      <w:t xml:space="preserve">  ·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F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259"/>
    </w:pPr>
    <w:rPr>
      <w:rFonts w:ascii="Noto Sans Mono CJK SC" w:hAnsi="Noto Sans Mono CJK SC" w:eastAsia="Noto Sans Mono CJK SC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