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F29A4">
      <w:pPr>
        <w:jc w:val="center"/>
        <w:rPr>
          <w:rFonts w:ascii="黑体" w:hAnsi="黑体" w:eastAsia="黑体"/>
          <w:sz w:val="44"/>
          <w:szCs w:val="44"/>
        </w:rPr>
      </w:pPr>
    </w:p>
    <w:p w14:paraId="464F35CD">
      <w:pPr>
        <w:jc w:val="center"/>
        <w:rPr>
          <w:rFonts w:ascii="黑体" w:hAnsi="黑体" w:eastAsia="黑体"/>
          <w:sz w:val="44"/>
          <w:szCs w:val="44"/>
        </w:rPr>
      </w:pPr>
    </w:p>
    <w:p w14:paraId="39714B92">
      <w:pPr>
        <w:jc w:val="center"/>
        <w:rPr>
          <w:rFonts w:ascii="黑体" w:hAnsi="黑体" w:eastAsia="黑体"/>
          <w:sz w:val="44"/>
          <w:szCs w:val="44"/>
        </w:rPr>
      </w:pPr>
    </w:p>
    <w:p w14:paraId="76ADF792">
      <w:pPr>
        <w:jc w:val="center"/>
        <w:rPr>
          <w:rFonts w:ascii="黑体" w:hAnsi="黑体" w:eastAsia="黑体"/>
          <w:sz w:val="44"/>
          <w:szCs w:val="44"/>
        </w:rPr>
      </w:pPr>
      <w:r>
        <w:rPr>
          <w:rFonts w:hint="eastAsia" w:ascii="黑体" w:hAnsi="黑体" w:eastAsia="黑体"/>
          <w:sz w:val="44"/>
          <w:szCs w:val="44"/>
        </w:rPr>
        <w:t>陕西省政府性融资担保机构综合评价报告</w:t>
      </w:r>
    </w:p>
    <w:p w14:paraId="75D2849C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1F3D312C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293A4B61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06CD3421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70CC4B5F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538A4DBF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4B53DB17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34843EF8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4A040F2C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1C92CDBF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10521790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77B7E3D0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2F0D17F9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62FCC887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27D13411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6B73148E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2A548FD3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65429175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05FFB547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62703BDD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2B4D25A8">
      <w:pPr>
        <w:ind w:firstLine="1680" w:firstLineChars="600"/>
        <w:rPr>
          <w:rFonts w:hint="eastAsia" w:ascii="仿宋" w:hAnsi="仿宋" w:eastAsia="仿宋"/>
          <w:sz w:val="28"/>
          <w:szCs w:val="28"/>
          <w:u w:val="none"/>
          <w:lang w:eastAsia="zh-CN"/>
        </w:rPr>
      </w:pPr>
      <w:r>
        <w:rPr>
          <w:rFonts w:hint="eastAsia" w:ascii="仿宋" w:hAnsi="仿宋" w:eastAsia="仿宋"/>
          <w:sz w:val="28"/>
          <w:szCs w:val="28"/>
          <w:u w:val="none"/>
        </w:rPr>
        <w:t>机构名称：</w:t>
      </w:r>
      <w:r>
        <w:rPr>
          <w:rFonts w:hint="eastAsia" w:ascii="仿宋" w:hAnsi="仿宋" w:eastAsia="仿宋"/>
          <w:sz w:val="28"/>
          <w:szCs w:val="28"/>
          <w:u w:val="none"/>
          <w:lang w:eastAsia="zh-CN"/>
        </w:rPr>
        <w:t>咸阳市融资担保股份有限公司</w:t>
      </w:r>
    </w:p>
    <w:p w14:paraId="04364978">
      <w:pPr>
        <w:ind w:firstLine="1680" w:firstLineChars="600"/>
        <w:rPr>
          <w:rFonts w:hint="eastAsia" w:ascii="仿宋" w:hAnsi="仿宋" w:eastAsia="仿宋"/>
          <w:sz w:val="28"/>
          <w:szCs w:val="28"/>
          <w:u w:val="none"/>
        </w:rPr>
      </w:pPr>
      <w:r>
        <w:rPr>
          <w:rFonts w:hint="eastAsia" w:ascii="仿宋" w:hAnsi="仿宋" w:eastAsia="仿宋"/>
          <w:sz w:val="28"/>
          <w:szCs w:val="28"/>
          <w:u w:val="none"/>
        </w:rPr>
        <w:t xml:space="preserve">调查部门：业务一部             </w:t>
      </w:r>
      <w:r>
        <w:rPr>
          <w:rFonts w:hint="eastAsia" w:ascii="仿宋" w:hAnsi="仿宋" w:eastAsia="仿宋"/>
          <w:sz w:val="28"/>
          <w:szCs w:val="28"/>
          <w:u w:val="none"/>
          <w:lang w:val="en-US" w:eastAsia="zh-CN"/>
        </w:rPr>
        <w:t xml:space="preserve">       </w:t>
      </w:r>
    </w:p>
    <w:p w14:paraId="44DA3369">
      <w:pPr>
        <w:ind w:firstLine="1680" w:firstLineChars="600"/>
        <w:rPr>
          <w:rFonts w:hint="eastAsia" w:ascii="仿宋" w:hAnsi="仿宋" w:eastAsia="仿宋"/>
          <w:sz w:val="28"/>
          <w:szCs w:val="28"/>
          <w:u w:val="none"/>
        </w:rPr>
      </w:pPr>
      <w:r>
        <w:rPr>
          <w:rFonts w:hint="eastAsia" w:ascii="仿宋" w:hAnsi="仿宋" w:eastAsia="仿宋"/>
          <w:sz w:val="28"/>
          <w:szCs w:val="28"/>
          <w:u w:val="none"/>
        </w:rPr>
        <w:t>调查人员：</w:t>
      </w:r>
      <w:r>
        <w:rPr>
          <w:rFonts w:hint="eastAsia" w:ascii="仿宋" w:hAnsi="仿宋" w:eastAsia="仿宋"/>
          <w:sz w:val="28"/>
          <w:szCs w:val="28"/>
          <w:u w:val="none"/>
          <w:lang w:val="en-US" w:eastAsia="zh-CN"/>
        </w:rPr>
        <w:t>徐涛</w:t>
      </w:r>
      <w:r>
        <w:rPr>
          <w:rFonts w:hint="eastAsia" w:ascii="仿宋" w:hAnsi="仿宋" w:eastAsia="仿宋"/>
          <w:sz w:val="28"/>
          <w:szCs w:val="28"/>
          <w:u w:val="none"/>
        </w:rPr>
        <w:t xml:space="preserve">   </w:t>
      </w:r>
      <w:r>
        <w:rPr>
          <w:rFonts w:hint="eastAsia" w:ascii="仿宋" w:hAnsi="仿宋" w:eastAsia="仿宋"/>
          <w:sz w:val="28"/>
          <w:szCs w:val="28"/>
          <w:u w:val="none"/>
          <w:lang w:val="en-US" w:eastAsia="zh-CN"/>
        </w:rPr>
        <w:t xml:space="preserve"> </w:t>
      </w:r>
      <w:r>
        <w:rPr>
          <w:rFonts w:hint="eastAsia" w:ascii="仿宋" w:hAnsi="仿宋" w:eastAsia="仿宋"/>
          <w:sz w:val="28"/>
          <w:szCs w:val="28"/>
          <w:u w:val="none"/>
        </w:rPr>
        <w:t xml:space="preserve">            </w:t>
      </w:r>
      <w:r>
        <w:rPr>
          <w:rFonts w:hint="eastAsia" w:ascii="仿宋" w:hAnsi="仿宋" w:eastAsia="仿宋"/>
          <w:sz w:val="28"/>
          <w:szCs w:val="28"/>
          <w:u w:val="none"/>
          <w:lang w:val="en-US" w:eastAsia="zh-CN"/>
        </w:rPr>
        <w:t xml:space="preserve">       </w:t>
      </w:r>
      <w:r>
        <w:rPr>
          <w:rFonts w:hint="eastAsia" w:ascii="仿宋" w:hAnsi="仿宋" w:eastAsia="仿宋"/>
          <w:sz w:val="28"/>
          <w:szCs w:val="28"/>
          <w:u w:val="none"/>
        </w:rPr>
        <w:t xml:space="preserve"> </w:t>
      </w:r>
    </w:p>
    <w:p w14:paraId="0120D8DB">
      <w:pPr>
        <w:ind w:firstLine="1680" w:firstLineChars="600"/>
        <w:rPr>
          <w:rFonts w:hint="eastAsia" w:ascii="仿宋" w:hAnsi="仿宋" w:eastAsia="仿宋"/>
          <w:sz w:val="28"/>
          <w:szCs w:val="28"/>
          <w:u w:val="none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u w:val="none"/>
        </w:rPr>
        <w:t>约谈对象：</w:t>
      </w:r>
      <w:r>
        <w:rPr>
          <w:rFonts w:hint="eastAsia" w:ascii="仿宋" w:hAnsi="仿宋" w:eastAsia="仿宋"/>
          <w:sz w:val="28"/>
          <w:szCs w:val="28"/>
          <w:u w:val="none"/>
          <w:lang w:val="en-US" w:eastAsia="zh-CN"/>
        </w:rPr>
        <w:t>张欣 业务经理</w:t>
      </w:r>
      <w:r>
        <w:rPr>
          <w:rFonts w:hint="eastAsia" w:ascii="仿宋" w:hAnsi="仿宋" w:eastAsia="仿宋"/>
          <w:sz w:val="28"/>
          <w:szCs w:val="28"/>
          <w:u w:val="none"/>
        </w:rPr>
        <w:t xml:space="preserve">  </w:t>
      </w:r>
      <w:r>
        <w:rPr>
          <w:rFonts w:hint="eastAsia" w:ascii="仿宋" w:hAnsi="仿宋" w:eastAsia="仿宋"/>
          <w:sz w:val="28"/>
          <w:szCs w:val="28"/>
          <w:u w:val="none"/>
          <w:lang w:val="en-US" w:eastAsia="zh-CN"/>
        </w:rPr>
        <w:t xml:space="preserve">       </w:t>
      </w:r>
      <w:r>
        <w:rPr>
          <w:rFonts w:hint="eastAsia" w:ascii="仿宋" w:hAnsi="仿宋" w:eastAsia="仿宋"/>
          <w:sz w:val="28"/>
          <w:szCs w:val="28"/>
          <w:u w:val="none"/>
        </w:rPr>
        <w:t xml:space="preserve">      </w:t>
      </w:r>
      <w:r>
        <w:rPr>
          <w:rFonts w:hint="eastAsia" w:ascii="仿宋" w:hAnsi="仿宋" w:eastAsia="仿宋"/>
          <w:sz w:val="28"/>
          <w:szCs w:val="28"/>
          <w:u w:val="none"/>
          <w:lang w:val="en-US" w:eastAsia="zh-CN"/>
        </w:rPr>
        <w:t xml:space="preserve">  </w:t>
      </w:r>
    </w:p>
    <w:p w14:paraId="1BC66279">
      <w:pPr>
        <w:ind w:firstLine="1680" w:firstLineChars="600"/>
        <w:rPr>
          <w:rFonts w:hint="eastAsia" w:ascii="仿宋" w:hAnsi="仿宋" w:eastAsia="仿宋"/>
          <w:sz w:val="28"/>
          <w:szCs w:val="28"/>
          <w:u w:val="none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u w:val="none"/>
        </w:rPr>
        <w:t>调查时间：2026年1月1</w:t>
      </w:r>
      <w:r>
        <w:rPr>
          <w:rFonts w:hint="eastAsia" w:ascii="仿宋" w:hAnsi="仿宋" w:eastAsia="仿宋"/>
          <w:sz w:val="28"/>
          <w:szCs w:val="28"/>
          <w:u w:val="none"/>
          <w:lang w:val="en-US" w:eastAsia="zh-CN"/>
        </w:rPr>
        <w:t>4</w:t>
      </w:r>
      <w:bookmarkStart w:id="0" w:name="_GoBack"/>
      <w:bookmarkEnd w:id="0"/>
      <w:r>
        <w:rPr>
          <w:rFonts w:hint="eastAsia" w:ascii="仿宋" w:hAnsi="仿宋" w:eastAsia="仿宋"/>
          <w:sz w:val="28"/>
          <w:szCs w:val="28"/>
          <w:u w:val="none"/>
        </w:rPr>
        <w:t xml:space="preserve">日  </w:t>
      </w:r>
      <w:r>
        <w:rPr>
          <w:rFonts w:hint="eastAsia" w:ascii="仿宋" w:hAnsi="仿宋" w:eastAsia="仿宋"/>
          <w:sz w:val="28"/>
          <w:szCs w:val="28"/>
          <w:u w:val="none"/>
          <w:lang w:val="en-US" w:eastAsia="zh-CN"/>
        </w:rPr>
        <w:t xml:space="preserve">    </w:t>
      </w:r>
      <w:r>
        <w:rPr>
          <w:rFonts w:hint="eastAsia" w:ascii="仿宋" w:hAnsi="仿宋" w:eastAsia="仿宋"/>
          <w:sz w:val="28"/>
          <w:szCs w:val="28"/>
          <w:u w:val="none"/>
        </w:rPr>
        <w:t xml:space="preserve">     </w:t>
      </w:r>
      <w:r>
        <w:rPr>
          <w:rFonts w:hint="eastAsia" w:ascii="仿宋" w:hAnsi="仿宋" w:eastAsia="仿宋"/>
          <w:sz w:val="28"/>
          <w:szCs w:val="28"/>
          <w:u w:val="none"/>
          <w:lang w:val="en-US" w:eastAsia="zh-CN"/>
        </w:rPr>
        <w:t xml:space="preserve">      </w:t>
      </w:r>
    </w:p>
    <w:p w14:paraId="6947757B">
      <w:pPr>
        <w:rPr>
          <w:rFonts w:ascii="仿宋_GB2312" w:hAnsi="仿宋" w:eastAsia="仿宋_GB2312"/>
          <w:sz w:val="28"/>
          <w:szCs w:val="28"/>
        </w:rPr>
      </w:pPr>
    </w:p>
    <w:p w14:paraId="110093A1">
      <w:pPr>
        <w:rPr>
          <w:rFonts w:ascii="仿宋_GB2312" w:hAnsi="仿宋" w:eastAsia="仿宋_GB2312"/>
          <w:sz w:val="28"/>
          <w:szCs w:val="28"/>
        </w:rPr>
      </w:pPr>
    </w:p>
    <w:p w14:paraId="275D28B7">
      <w:pPr>
        <w:rPr>
          <w:rFonts w:ascii="仿宋_GB2312" w:hAnsi="仿宋" w:eastAsia="仿宋_GB2312"/>
          <w:sz w:val="28"/>
          <w:szCs w:val="28"/>
        </w:rPr>
      </w:pPr>
    </w:p>
    <w:tbl>
      <w:tblPr>
        <w:tblStyle w:val="8"/>
        <w:tblW w:w="909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9"/>
      </w:tblGrid>
      <w:tr w14:paraId="02A13C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099" w:type="dxa"/>
            <w:tcBorders>
              <w:tl2br w:val="nil"/>
              <w:tr2bl w:val="nil"/>
            </w:tcBorders>
            <w:shd w:val="clear" w:color="auto" w:fill="D7D7D7" w:themeFill="background1" w:themeFillShade="D8"/>
            <w:noWrap/>
            <w:vAlign w:val="center"/>
          </w:tcPr>
          <w:p w14:paraId="6EF71DFB">
            <w:pP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一、经营情况变化及分析</w:t>
            </w:r>
          </w:p>
        </w:tc>
      </w:tr>
      <w:tr w14:paraId="45A628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0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55AA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576" w:firstLineChars="0"/>
              <w:rPr>
                <w:rFonts w:hint="default" w:ascii="仿宋" w:hAnsi="仿宋" w:eastAsia="仿宋" w:cs="Times New Roman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  <w:highlight w:val="none"/>
                <w:lang w:val="en-US" w:eastAsia="zh-CN"/>
              </w:rPr>
              <w:t>咸阳市融资担保股份有限公司（以下简称咸阳担保）成立于2008年1月，注册资本10.51亿元。工商信息变更记录显示，法定代表人侯树忠。咸阳担保主要股东包括咸阳市城市建设投资控股集团有限公司（持股54.54%）、咸阳市财金担保管理有限公司（持股15.60%），我司持股比例为3.56%。</w:t>
            </w:r>
          </w:p>
          <w:p w14:paraId="4662D1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576" w:firstLineChars="0"/>
              <w:rPr>
                <w:rFonts w:hint="eastAsia" w:ascii="仿宋" w:hAnsi="仿宋" w:eastAsia="仿宋" w:cs="Times New Roman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  <w:highlight w:val="none"/>
                <w:lang w:val="en-US" w:eastAsia="zh-CN"/>
              </w:rPr>
              <w:t>截至2025年12月末，咸阳担保在保余额61.89亿元，在保户数1431户，净资产11.63亿元。我司对咸阳担保本年度评价等次为“B”，对应评价结果为良好类。</w:t>
            </w:r>
          </w:p>
          <w:p w14:paraId="67E9BDFD">
            <w:pPr>
              <w:ind w:firstLine="576"/>
              <w:rPr>
                <w:rFonts w:hint="default" w:ascii="仿宋" w:hAnsi="仿宋" w:eastAsia="仿宋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val="en-US" w:eastAsia="zh-CN"/>
              </w:rPr>
              <w:t>本次评价期内，咸阳担保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</w:rPr>
              <w:t>法人治理结构、股权结构、法定代表人、主要管理层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val="en-US" w:eastAsia="zh-CN"/>
              </w:rPr>
              <w:t>和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</w:rPr>
              <w:t>对外投资等关键经营情况未发生变化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eastAsia="zh-CN"/>
              </w:rPr>
              <w:t>。</w:t>
            </w:r>
          </w:p>
        </w:tc>
      </w:tr>
      <w:tr w14:paraId="7927D7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099" w:type="dxa"/>
            <w:tcBorders>
              <w:tl2br w:val="nil"/>
              <w:tr2bl w:val="nil"/>
            </w:tcBorders>
            <w:shd w:val="clear" w:color="auto" w:fill="D7D7D7" w:themeFill="background1" w:themeFillShade="D8"/>
            <w:noWrap/>
            <w:vAlign w:val="center"/>
          </w:tcPr>
          <w:p w14:paraId="6CD4BF51">
            <w:pPr>
              <w:rPr>
                <w:rFonts w:ascii="仿宋_GB2312" w:hAnsi="仿宋" w:eastAsia="仿宋_GB2312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b/>
                <w:bCs/>
                <w:sz w:val="28"/>
                <w:szCs w:val="28"/>
              </w:rPr>
              <w:t>二、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年度政策目标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完成情况</w:t>
            </w:r>
          </w:p>
        </w:tc>
      </w:tr>
      <w:tr w14:paraId="015ED7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  <w:jc w:val="center"/>
        </w:trPr>
        <w:tc>
          <w:tcPr>
            <w:tcW w:w="90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66131B">
            <w:pPr>
              <w:ind w:firstLine="560" w:firstLineChars="0"/>
              <w:rPr>
                <w:rFonts w:hint="eastAsia" w:ascii="仿宋" w:hAnsi="仿宋" w:eastAsia="仿宋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/>
                <w:sz w:val="28"/>
                <w:szCs w:val="28"/>
                <w:highlight w:val="none"/>
              </w:rPr>
              <w:t>202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</w:rPr>
              <w:t>年我司为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val="en-US" w:eastAsia="zh-CN"/>
              </w:rPr>
              <w:t>咸阳担保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</w:rPr>
              <w:t>下达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eastAsia="zh-CN"/>
              </w:rPr>
              <w:t>了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val="en-US" w:eastAsia="zh-CN"/>
              </w:rPr>
              <w:t>8项</w:t>
            </w:r>
            <w:r>
              <w:rPr>
                <w:rFonts w:hint="eastAsia" w:ascii="仿宋" w:hAnsi="仿宋" w:eastAsia="仿宋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年度业务合作政策目标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</w:rPr>
              <w:t>，</w:t>
            </w:r>
            <w:r>
              <w:rPr>
                <w:rFonts w:hint="eastAsia" w:ascii="仿宋" w:hAnsi="仿宋" w:eastAsia="仿宋" w:cs="Times New Roman"/>
                <w:sz w:val="28"/>
                <w:szCs w:val="28"/>
                <w:highlight w:val="none"/>
                <w:lang w:val="en-US" w:eastAsia="zh-CN"/>
              </w:rPr>
              <w:t>各</w:t>
            </w:r>
            <w:r>
              <w:rPr>
                <w:rFonts w:hint="eastAsia" w:ascii="仿宋" w:hAnsi="仿宋" w:eastAsia="仿宋" w:cs="Times New Roman"/>
                <w:sz w:val="28"/>
                <w:szCs w:val="28"/>
                <w:highlight w:val="none"/>
                <w:lang w:eastAsia="zh-CN"/>
              </w:rPr>
              <w:t>指标详情及</w:t>
            </w:r>
            <w:r>
              <w:rPr>
                <w:rFonts w:hint="eastAsia" w:ascii="仿宋" w:hAnsi="仿宋" w:eastAsia="仿宋" w:cs="Times New Roman"/>
                <w:sz w:val="28"/>
                <w:szCs w:val="28"/>
                <w:highlight w:val="none"/>
                <w:lang w:val="en-US" w:eastAsia="zh-CN"/>
              </w:rPr>
              <w:t>12月底</w:t>
            </w:r>
            <w:r>
              <w:rPr>
                <w:rFonts w:hint="eastAsia" w:ascii="仿宋" w:hAnsi="仿宋" w:eastAsia="仿宋" w:cs="Times New Roman"/>
                <w:sz w:val="28"/>
                <w:szCs w:val="28"/>
                <w:highlight w:val="none"/>
                <w:lang w:eastAsia="zh-CN"/>
              </w:rPr>
              <w:t>进度情况如下：</w:t>
            </w:r>
          </w:p>
          <w:p w14:paraId="0725BF34">
            <w:pPr>
              <w:ind w:firstLine="6850" w:firstLineChars="3262"/>
              <w:jc w:val="left"/>
              <w:rPr>
                <w:rFonts w:ascii="仿宋" w:hAnsi="仿宋" w:eastAsia="仿宋"/>
                <w:szCs w:val="21"/>
                <w:highlight w:val="none"/>
              </w:rPr>
            </w:pPr>
            <w:r>
              <w:rPr>
                <w:rFonts w:hint="eastAsia" w:ascii="仿宋" w:hAnsi="仿宋" w:eastAsia="仿宋"/>
                <w:szCs w:val="21"/>
                <w:highlight w:val="none"/>
              </w:rPr>
              <w:t>单位：亿元、倍、%</w:t>
            </w:r>
          </w:p>
          <w:tbl>
            <w:tblPr>
              <w:tblStyle w:val="9"/>
              <w:tblW w:w="8967" w:type="dxa"/>
              <w:tblInd w:w="-68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60"/>
              <w:gridCol w:w="1107"/>
              <w:gridCol w:w="1009"/>
              <w:gridCol w:w="912"/>
              <w:gridCol w:w="936"/>
              <w:gridCol w:w="1030"/>
              <w:gridCol w:w="854"/>
              <w:gridCol w:w="1056"/>
              <w:gridCol w:w="903"/>
            </w:tblGrid>
            <w:tr w14:paraId="6089DC8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82" w:hRule="atLeast"/>
              </w:trPr>
              <w:tc>
                <w:tcPr>
                  <w:tcW w:w="1160" w:type="dxa"/>
                  <w:vAlign w:val="center"/>
                </w:tcPr>
                <w:p w14:paraId="3FCEAC8B">
                  <w:pPr>
                    <w:keepNext w:val="0"/>
                    <w:keepLines w:val="0"/>
                    <w:widowControl/>
                    <w:suppressLineNumbers w:val="0"/>
                    <w:ind w:firstLine="0"/>
                    <w:jc w:val="left"/>
                    <w:textAlignment w:val="auto"/>
                    <w:rPr>
                      <w:rFonts w:ascii="仿宋" w:hAnsi="仿宋" w:eastAsia="仿宋"/>
                      <w:sz w:val="28"/>
                      <w:szCs w:val="28"/>
                      <w:highlight w:val="none"/>
                      <w:vertAlign w:val="baseline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指标名称</w:t>
                  </w:r>
                </w:p>
              </w:tc>
              <w:tc>
                <w:tcPr>
                  <w:tcW w:w="1107" w:type="dxa"/>
                  <w:vAlign w:val="center"/>
                </w:tcPr>
                <w:p w14:paraId="5EDCA2AA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新增担保业务规模</w:t>
                  </w:r>
                </w:p>
              </w:tc>
              <w:tc>
                <w:tcPr>
                  <w:tcW w:w="1009" w:type="dxa"/>
                  <w:vAlign w:val="center"/>
                </w:tcPr>
                <w:p w14:paraId="2A4F4EDC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小微三农融资担保业务占比</w:t>
                  </w:r>
                </w:p>
              </w:tc>
              <w:tc>
                <w:tcPr>
                  <w:tcW w:w="912" w:type="dxa"/>
                  <w:vAlign w:val="center"/>
                </w:tcPr>
                <w:p w14:paraId="5A563AB3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单户500万以下融资担保业务占比</w:t>
                  </w:r>
                </w:p>
              </w:tc>
              <w:tc>
                <w:tcPr>
                  <w:tcW w:w="936" w:type="dxa"/>
                  <w:vAlign w:val="center"/>
                </w:tcPr>
                <w:p w14:paraId="0F0EBE9E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再担保规模</w:t>
                  </w:r>
                </w:p>
              </w:tc>
              <w:tc>
                <w:tcPr>
                  <w:tcW w:w="1030" w:type="dxa"/>
                  <w:vAlign w:val="center"/>
                </w:tcPr>
                <w:p w14:paraId="57204C6A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分险业务占比</w:t>
                  </w:r>
                </w:p>
              </w:tc>
              <w:tc>
                <w:tcPr>
                  <w:tcW w:w="854" w:type="dxa"/>
                  <w:vAlign w:val="center"/>
                </w:tcPr>
                <w:p w14:paraId="69547AC6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担保放大倍数</w:t>
                  </w:r>
                </w:p>
              </w:tc>
              <w:tc>
                <w:tcPr>
                  <w:tcW w:w="1056" w:type="dxa"/>
                  <w:vAlign w:val="center"/>
                </w:tcPr>
                <w:p w14:paraId="2F5F7D1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合作业务代偿率</w:t>
                  </w:r>
                </w:p>
              </w:tc>
              <w:tc>
                <w:tcPr>
                  <w:tcW w:w="903" w:type="dxa"/>
                  <w:vAlign w:val="center"/>
                </w:tcPr>
                <w:p w14:paraId="25FEC68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代偿补偿返还率</w:t>
                  </w:r>
                </w:p>
              </w:tc>
            </w:tr>
            <w:tr w14:paraId="68DF378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4" w:hRule="atLeast"/>
              </w:trPr>
              <w:tc>
                <w:tcPr>
                  <w:tcW w:w="1160" w:type="dxa"/>
                  <w:vAlign w:val="center"/>
                </w:tcPr>
                <w:p w14:paraId="6159A898">
                  <w:pPr>
                    <w:widowControl/>
                    <w:spacing w:line="240" w:lineRule="auto"/>
                    <w:ind w:firstLine="0"/>
                    <w:jc w:val="left"/>
                    <w:rPr>
                      <w:rFonts w:hint="eastAsia" w:ascii="仿宋" w:hAnsi="仿宋" w:eastAsia="仿宋" w:cs="仿宋"/>
                      <w:b/>
                      <w:bCs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vertAlign w:val="baseline"/>
                      <w:lang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bidi="ar"/>
                    </w:rPr>
                    <w:t>目标值</w:t>
                  </w:r>
                </w:p>
              </w:tc>
              <w:tc>
                <w:tcPr>
                  <w:tcW w:w="1107" w:type="dxa"/>
                  <w:shd w:val="clear" w:color="auto" w:fill="auto"/>
                  <w:vAlign w:val="center"/>
                </w:tcPr>
                <w:p w14:paraId="38FB0A5E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 xml:space="preserve">62.00 </w:t>
                  </w:r>
                </w:p>
              </w:tc>
              <w:tc>
                <w:tcPr>
                  <w:tcW w:w="1009" w:type="dxa"/>
                  <w:shd w:val="clear" w:color="auto" w:fill="auto"/>
                  <w:vAlign w:val="center"/>
                </w:tcPr>
                <w:p w14:paraId="00FCB613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80.00%</w:t>
                  </w:r>
                </w:p>
              </w:tc>
              <w:tc>
                <w:tcPr>
                  <w:tcW w:w="912" w:type="dxa"/>
                  <w:shd w:val="clear" w:color="auto" w:fill="auto"/>
                  <w:vAlign w:val="center"/>
                </w:tcPr>
                <w:p w14:paraId="6DE2C10B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50.00%</w:t>
                  </w:r>
                </w:p>
              </w:tc>
              <w:tc>
                <w:tcPr>
                  <w:tcW w:w="936" w:type="dxa"/>
                  <w:shd w:val="clear" w:color="auto" w:fill="auto"/>
                  <w:vAlign w:val="center"/>
                </w:tcPr>
                <w:p w14:paraId="0170049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 xml:space="preserve">31.00 </w:t>
                  </w:r>
                </w:p>
              </w:tc>
              <w:tc>
                <w:tcPr>
                  <w:tcW w:w="1030" w:type="dxa"/>
                  <w:shd w:val="clear" w:color="auto" w:fill="auto"/>
                  <w:vAlign w:val="center"/>
                </w:tcPr>
                <w:p w14:paraId="14ABE8EF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73.17%</w:t>
                  </w:r>
                </w:p>
              </w:tc>
              <w:tc>
                <w:tcPr>
                  <w:tcW w:w="854" w:type="dxa"/>
                  <w:shd w:val="clear" w:color="auto" w:fill="auto"/>
                  <w:vAlign w:val="center"/>
                </w:tcPr>
                <w:p w14:paraId="266B5438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 xml:space="preserve">5.09 </w:t>
                  </w:r>
                </w:p>
              </w:tc>
              <w:tc>
                <w:tcPr>
                  <w:tcW w:w="1056" w:type="dxa"/>
                  <w:shd w:val="clear" w:color="auto" w:fill="auto"/>
                  <w:vAlign w:val="center"/>
                </w:tcPr>
                <w:p w14:paraId="4CAACB4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不超过2%</w:t>
                  </w:r>
                </w:p>
              </w:tc>
              <w:tc>
                <w:tcPr>
                  <w:tcW w:w="903" w:type="dxa"/>
                  <w:shd w:val="clear" w:color="auto" w:fill="auto"/>
                  <w:vAlign w:val="center"/>
                </w:tcPr>
                <w:p w14:paraId="0319375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10.00%</w:t>
                  </w:r>
                </w:p>
              </w:tc>
            </w:tr>
            <w:tr w14:paraId="672B57E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4" w:hRule="atLeast"/>
              </w:trPr>
              <w:tc>
                <w:tcPr>
                  <w:tcW w:w="1160" w:type="dxa"/>
                  <w:vAlign w:val="center"/>
                </w:tcPr>
                <w:p w14:paraId="698BF088">
                  <w:pPr>
                    <w:widowControl/>
                    <w:spacing w:line="240" w:lineRule="auto"/>
                    <w:ind w:firstLine="0"/>
                    <w:jc w:val="left"/>
                    <w:rPr>
                      <w:rFonts w:hint="eastAsia" w:ascii="仿宋" w:hAnsi="仿宋" w:eastAsia="仿宋" w:cs="仿宋"/>
                      <w:b/>
                      <w:bCs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vertAlign w:val="baseline"/>
                      <w:lang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eastAsia="zh-CN" w:bidi="ar"/>
                    </w:rPr>
                    <w:t>实际值</w:t>
                  </w:r>
                </w:p>
              </w:tc>
              <w:tc>
                <w:tcPr>
                  <w:tcW w:w="1107" w:type="dxa"/>
                  <w:shd w:val="clear" w:color="auto" w:fill="auto"/>
                  <w:vAlign w:val="center"/>
                </w:tcPr>
                <w:p w14:paraId="02AFB8A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 xml:space="preserve">41.86 </w:t>
                  </w:r>
                </w:p>
              </w:tc>
              <w:tc>
                <w:tcPr>
                  <w:tcW w:w="1009" w:type="dxa"/>
                  <w:shd w:val="clear" w:color="auto" w:fill="auto"/>
                  <w:vAlign w:val="center"/>
                </w:tcPr>
                <w:p w14:paraId="07A6A90A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94.92%</w:t>
                  </w:r>
                </w:p>
              </w:tc>
              <w:tc>
                <w:tcPr>
                  <w:tcW w:w="912" w:type="dxa"/>
                  <w:shd w:val="clear" w:color="auto" w:fill="auto"/>
                  <w:vAlign w:val="center"/>
                </w:tcPr>
                <w:p w14:paraId="23FBDB7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51.03%</w:t>
                  </w:r>
                </w:p>
              </w:tc>
              <w:tc>
                <w:tcPr>
                  <w:tcW w:w="936" w:type="dxa"/>
                  <w:shd w:val="clear" w:color="auto" w:fill="auto"/>
                  <w:vAlign w:val="center"/>
                </w:tcPr>
                <w:p w14:paraId="4E086C7F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 xml:space="preserve">30.94 </w:t>
                  </w:r>
                </w:p>
              </w:tc>
              <w:tc>
                <w:tcPr>
                  <w:tcW w:w="1030" w:type="dxa"/>
                  <w:shd w:val="clear" w:color="auto" w:fill="auto"/>
                  <w:vAlign w:val="center"/>
                </w:tcPr>
                <w:p w14:paraId="41CE9D1B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77.86%</w:t>
                  </w:r>
                </w:p>
              </w:tc>
              <w:tc>
                <w:tcPr>
                  <w:tcW w:w="854" w:type="dxa"/>
                  <w:shd w:val="clear" w:color="auto" w:fill="auto"/>
                  <w:vAlign w:val="center"/>
                </w:tcPr>
                <w:p w14:paraId="27218FAC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 xml:space="preserve">5.44 </w:t>
                  </w:r>
                </w:p>
              </w:tc>
              <w:tc>
                <w:tcPr>
                  <w:tcW w:w="1056" w:type="dxa"/>
                  <w:shd w:val="clear" w:color="auto" w:fill="auto"/>
                  <w:vAlign w:val="center"/>
                </w:tcPr>
                <w:p w14:paraId="55758060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1.58%</w:t>
                  </w:r>
                </w:p>
              </w:tc>
              <w:tc>
                <w:tcPr>
                  <w:tcW w:w="903" w:type="dxa"/>
                  <w:shd w:val="clear" w:color="auto" w:fill="auto"/>
                  <w:vAlign w:val="center"/>
                </w:tcPr>
                <w:p w14:paraId="638AFCC1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8.31%</w:t>
                  </w:r>
                </w:p>
              </w:tc>
            </w:tr>
            <w:tr w14:paraId="5C28FE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25" w:hRule="atLeast"/>
              </w:trPr>
              <w:tc>
                <w:tcPr>
                  <w:tcW w:w="1160" w:type="dxa"/>
                  <w:vAlign w:val="center"/>
                </w:tcPr>
                <w:p w14:paraId="78D1374D">
                  <w:pPr>
                    <w:widowControl/>
                    <w:spacing w:line="240" w:lineRule="auto"/>
                    <w:ind w:firstLine="0"/>
                    <w:jc w:val="left"/>
                    <w:rPr>
                      <w:rFonts w:hint="eastAsia" w:ascii="仿宋" w:hAnsi="仿宋" w:eastAsia="仿宋" w:cs="仿宋"/>
                      <w:b/>
                      <w:bCs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vertAlign w:val="baseline"/>
                      <w:lang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bidi="ar"/>
                    </w:rPr>
                    <w:t>完成</w:t>
                  </w:r>
                  <w:r>
                    <w:rPr>
                      <w:rFonts w:hint="eastAsia" w:ascii="仿宋" w:hAnsi="仿宋" w:eastAsia="仿宋" w:cs="仿宋"/>
                      <w:b/>
                      <w:bCs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eastAsia="zh-CN" w:bidi="ar"/>
                    </w:rPr>
                    <w:t>进度</w:t>
                  </w:r>
                </w:p>
              </w:tc>
              <w:tc>
                <w:tcPr>
                  <w:tcW w:w="1107" w:type="dxa"/>
                  <w:shd w:val="clear" w:color="auto" w:fill="auto"/>
                  <w:vAlign w:val="center"/>
                </w:tcPr>
                <w:p w14:paraId="1A4297E0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67.51%</w:t>
                  </w:r>
                </w:p>
              </w:tc>
              <w:tc>
                <w:tcPr>
                  <w:tcW w:w="1009" w:type="dxa"/>
                  <w:shd w:val="clear" w:color="auto" w:fill="auto"/>
                  <w:vAlign w:val="center"/>
                </w:tcPr>
                <w:p w14:paraId="6FC60CA6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118.64%</w:t>
                  </w:r>
                </w:p>
              </w:tc>
              <w:tc>
                <w:tcPr>
                  <w:tcW w:w="912" w:type="dxa"/>
                  <w:shd w:val="clear" w:color="auto" w:fill="auto"/>
                  <w:vAlign w:val="center"/>
                </w:tcPr>
                <w:p w14:paraId="1A88E4B8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102.07%</w:t>
                  </w:r>
                </w:p>
              </w:tc>
              <w:tc>
                <w:tcPr>
                  <w:tcW w:w="936" w:type="dxa"/>
                  <w:shd w:val="clear" w:color="auto" w:fill="auto"/>
                  <w:vAlign w:val="center"/>
                </w:tcPr>
                <w:p w14:paraId="31583B40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99.81%</w:t>
                  </w:r>
                </w:p>
              </w:tc>
              <w:tc>
                <w:tcPr>
                  <w:tcW w:w="1030" w:type="dxa"/>
                  <w:shd w:val="clear" w:color="auto" w:fill="auto"/>
                  <w:vAlign w:val="center"/>
                </w:tcPr>
                <w:p w14:paraId="472A64D3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106.41%</w:t>
                  </w:r>
                </w:p>
              </w:tc>
              <w:tc>
                <w:tcPr>
                  <w:tcW w:w="854" w:type="dxa"/>
                  <w:shd w:val="clear" w:color="auto" w:fill="auto"/>
                  <w:vAlign w:val="center"/>
                </w:tcPr>
                <w:p w14:paraId="69F4324E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106.84%</w:t>
                  </w:r>
                </w:p>
              </w:tc>
              <w:tc>
                <w:tcPr>
                  <w:tcW w:w="1056" w:type="dxa"/>
                  <w:shd w:val="clear" w:color="auto" w:fill="auto"/>
                  <w:vAlign w:val="center"/>
                </w:tcPr>
                <w:p w14:paraId="31C3CC40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达标</w:t>
                  </w:r>
                </w:p>
              </w:tc>
              <w:tc>
                <w:tcPr>
                  <w:tcW w:w="903" w:type="dxa"/>
                  <w:shd w:val="clear" w:color="auto" w:fill="auto"/>
                  <w:vAlign w:val="center"/>
                </w:tcPr>
                <w:p w14:paraId="59F1C8BE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不达标</w:t>
                  </w:r>
                </w:p>
              </w:tc>
            </w:tr>
          </w:tbl>
          <w:p w14:paraId="66DAF232">
            <w:pPr>
              <w:ind w:firstLine="560"/>
              <w:jc w:val="left"/>
              <w:rPr>
                <w:rFonts w:hint="default" w:ascii="仿宋" w:hAnsi="仿宋" w:eastAsia="仿宋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eastAsia="zh-CN"/>
              </w:rPr>
              <w:t>从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val="en-US" w:eastAsia="zh-CN"/>
              </w:rPr>
              <w:t>政策目标完成进度分析，1-12月，咸阳担保新增担保业务规模、再担保规模和代偿补偿返还率3项指标落后时间进度或未达标。</w:t>
            </w:r>
          </w:p>
        </w:tc>
      </w:tr>
      <w:tr w14:paraId="3510FE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099" w:type="dxa"/>
            <w:tcBorders>
              <w:tl2br w:val="nil"/>
              <w:tr2bl w:val="nil"/>
            </w:tcBorders>
            <w:shd w:val="clear" w:color="auto" w:fill="D7D7D7" w:themeFill="background1" w:themeFillShade="D8"/>
            <w:noWrap/>
            <w:vAlign w:val="center"/>
          </w:tcPr>
          <w:p w14:paraId="095BDBA3">
            <w:pP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三、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授信使用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eastAsia="zh-CN"/>
              </w:rPr>
              <w:t>及业务开展</w:t>
            </w:r>
          </w:p>
        </w:tc>
      </w:tr>
      <w:tr w14:paraId="5EADF0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4" w:hRule="atLeast"/>
          <w:jc w:val="center"/>
        </w:trPr>
        <w:tc>
          <w:tcPr>
            <w:tcW w:w="90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6DE5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rPr>
                <w:rFonts w:hint="eastAsia" w:ascii="仿宋" w:hAnsi="仿宋" w:eastAsia="仿宋" w:cs="Times New Roman"/>
                <w:color w:val="auto"/>
                <w:kern w:val="2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color w:val="auto"/>
                <w:kern w:val="2"/>
                <w:sz w:val="28"/>
                <w:szCs w:val="28"/>
                <w:highlight w:val="none"/>
                <w:lang w:val="en-US" w:eastAsia="zh-CN"/>
              </w:rPr>
              <w:t>本年度我司授予咸阳担保再担保业务授信额度31亿元，其中银担非分险业务授信7.49亿元。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val="en-US" w:eastAsia="zh-CN"/>
              </w:rPr>
              <w:t>截至12月31日，</w:t>
            </w:r>
            <w:r>
              <w:rPr>
                <w:rFonts w:hint="eastAsia" w:ascii="仿宋" w:hAnsi="仿宋" w:eastAsia="仿宋" w:cs="Times New Roman"/>
                <w:color w:val="auto"/>
                <w:kern w:val="2"/>
                <w:sz w:val="28"/>
                <w:szCs w:val="28"/>
                <w:highlight w:val="none"/>
                <w:lang w:val="en-US" w:eastAsia="zh-CN"/>
              </w:rPr>
              <w:t>咸阳担保使用再担保业务总授信额度19.58亿元，使用银担非分险业务授信额度7.49亿元，授信使用率分别为63.15%和86.05%。</w:t>
            </w:r>
          </w:p>
          <w:p w14:paraId="32656DFF">
            <w:pPr>
              <w:widowControl/>
              <w:ind w:firstLine="560" w:firstLineChars="200"/>
              <w:jc w:val="left"/>
              <w:rPr>
                <w:rFonts w:hint="default" w:ascii="仿宋" w:hAnsi="仿宋" w:eastAsia="仿宋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val="en-US" w:eastAsia="zh-CN"/>
              </w:rPr>
              <w:t>截至12月31日</w:t>
            </w:r>
            <w:r>
              <w:rPr>
                <w:rFonts w:hint="eastAsia" w:ascii="仿宋" w:hAnsi="仿宋" w:eastAsia="仿宋" w:cs="Times New Roman"/>
                <w:color w:val="auto"/>
                <w:kern w:val="2"/>
                <w:sz w:val="28"/>
                <w:szCs w:val="28"/>
                <w:highlight w:val="none"/>
                <w:lang w:val="en-US" w:eastAsia="zh-CN"/>
              </w:rPr>
              <w:t>，咸阳担保申请代偿补偿项目41笔，获得补偿资金3044.41万元，累计返还252.96万元，返还率8.31%。</w:t>
            </w:r>
          </w:p>
          <w:p w14:paraId="080D0054">
            <w:pPr>
              <w:widowControl/>
              <w:ind w:firstLine="560" w:firstLineChars="200"/>
              <w:jc w:val="left"/>
              <w:rPr>
                <w:rFonts w:hint="eastAsia" w:ascii="仿宋" w:hAnsi="仿宋" w:eastAsia="仿宋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highlight w:val="none"/>
              </w:rPr>
              <w:t>目前，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eastAsia="zh-CN"/>
              </w:rPr>
              <w:t>咸阳担保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val="en-US" w:eastAsia="zh-CN"/>
              </w:rPr>
              <w:t>备案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</w:rPr>
              <w:t>业务主要分为传统业务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eastAsia="zh-CN"/>
              </w:rPr>
              <w:t>和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val="en-US" w:eastAsia="zh-CN"/>
              </w:rPr>
              <w:t>总对总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</w:rPr>
              <w:t>批量担保业务两大类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eastAsia="zh-CN"/>
              </w:rPr>
              <w:t>，具体产品构成如下表：</w:t>
            </w:r>
          </w:p>
          <w:p w14:paraId="042A3894">
            <w:pPr>
              <w:widowControl/>
              <w:ind w:firstLine="7480" w:firstLineChars="3400"/>
              <w:jc w:val="left"/>
              <w:rPr>
                <w:rFonts w:hint="eastAsia" w:ascii="仿宋" w:hAnsi="仿宋" w:eastAsia="仿宋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2"/>
                <w:highlight w:val="none"/>
              </w:rPr>
              <w:t>单位：</w:t>
            </w:r>
            <w:r>
              <w:rPr>
                <w:rFonts w:hint="eastAsia" w:ascii="仿宋" w:hAnsi="仿宋" w:eastAsia="仿宋" w:cs="仿宋"/>
                <w:kern w:val="0"/>
                <w:sz w:val="22"/>
                <w:highlight w:val="none"/>
                <w:lang w:val="en-US" w:eastAsia="zh-CN"/>
              </w:rPr>
              <w:t>万</w:t>
            </w:r>
            <w:r>
              <w:rPr>
                <w:rFonts w:hint="eastAsia" w:ascii="仿宋" w:hAnsi="仿宋" w:eastAsia="仿宋" w:cs="仿宋"/>
                <w:kern w:val="0"/>
                <w:sz w:val="22"/>
                <w:highlight w:val="none"/>
              </w:rPr>
              <w:t>元</w:t>
            </w:r>
          </w:p>
          <w:tbl>
            <w:tblPr>
              <w:tblStyle w:val="8"/>
              <w:tblW w:w="8719" w:type="dxa"/>
              <w:tblInd w:w="96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48"/>
              <w:gridCol w:w="4556"/>
              <w:gridCol w:w="1752"/>
              <w:gridCol w:w="1763"/>
            </w:tblGrid>
            <w:tr w14:paraId="1B6401D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0" w:hRule="atLeast"/>
              </w:trPr>
              <w:tc>
                <w:tcPr>
                  <w:tcW w:w="5204" w:type="dxa"/>
                  <w:gridSpan w:val="2"/>
                  <w:tcBorders>
                    <w:top w:val="single" w:color="000000" w:sz="4" w:space="0"/>
                    <w:left w:val="single" w:color="000000" w:sz="4" w:space="0"/>
                    <w:bottom w:val="single" w:color="auto" w:sz="4" w:space="0"/>
                    <w:right w:val="single" w:color="000000" w:sz="4" w:space="0"/>
                  </w:tcBorders>
                  <w:noWrap/>
                  <w:vAlign w:val="center"/>
                </w:tcPr>
                <w:p w14:paraId="5D2807C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业务分类</w:t>
                  </w:r>
                </w:p>
              </w:tc>
              <w:tc>
                <w:tcPr>
                  <w:tcW w:w="175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48D8063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业务规模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61D41C8E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占比</w:t>
                  </w:r>
                </w:p>
              </w:tc>
            </w:tr>
            <w:tr w14:paraId="1E454F5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0" w:hRule="atLeast"/>
              </w:trPr>
              <w:tc>
                <w:tcPr>
                  <w:tcW w:w="64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37C4535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highlight w:val="none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4556" w:type="dxa"/>
                  <w:tcBorders>
                    <w:top w:val="single" w:color="000000" w:sz="4" w:space="0"/>
                    <w:left w:val="single" w:color="auto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12507B56">
                  <w:pPr>
                    <w:keepNext w:val="0"/>
                    <w:keepLines w:val="0"/>
                    <w:widowControl/>
                    <w:suppressLineNumbers w:val="0"/>
                    <w:jc w:val="both"/>
                    <w:textAlignment w:val="center"/>
                    <w:rPr>
                      <w:rFonts w:hint="eastAsia" w:ascii="仿宋" w:hAnsi="仿宋" w:eastAsia="仿宋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Times New Roman"/>
                      <w:b/>
                      <w:bCs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w:t>总对总批量担保业务</w:t>
                  </w:r>
                  <w:r>
                    <w:rPr>
                      <w:rFonts w:hint="eastAsia" w:ascii="仿宋" w:hAnsi="仿宋" w:eastAsia="仿宋" w:cs="Times New Roman"/>
                      <w:b/>
                      <w:bCs/>
                      <w:color w:val="auto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w:t>（国担版和地方版）</w:t>
                  </w:r>
                </w:p>
              </w:tc>
              <w:tc>
                <w:tcPr>
                  <w:tcW w:w="175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0D9F317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 xml:space="preserve">166869.97 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93720D2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58.39%</w:t>
                  </w:r>
                </w:p>
              </w:tc>
            </w:tr>
            <w:tr w14:paraId="62C01E4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0" w:hRule="atLeast"/>
              </w:trPr>
              <w:tc>
                <w:tcPr>
                  <w:tcW w:w="64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342E6150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highlight w:val="none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2</w:t>
                  </w:r>
                </w:p>
              </w:tc>
              <w:tc>
                <w:tcPr>
                  <w:tcW w:w="4556" w:type="dxa"/>
                  <w:tcBorders>
                    <w:top w:val="single" w:color="000000" w:sz="4" w:space="0"/>
                    <w:left w:val="single" w:color="auto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4882CF82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w:t>其中：国担版银担总对总业务</w:t>
                  </w:r>
                </w:p>
              </w:tc>
              <w:tc>
                <w:tcPr>
                  <w:tcW w:w="175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1FABE87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 xml:space="preserve">90006.17 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E2F54BE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31.49%</w:t>
                  </w:r>
                </w:p>
              </w:tc>
            </w:tr>
            <w:tr w14:paraId="4814DCC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0" w:hRule="atLeast"/>
              </w:trPr>
              <w:tc>
                <w:tcPr>
                  <w:tcW w:w="64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8A9B953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highlight w:val="none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3</w:t>
                  </w:r>
                </w:p>
              </w:tc>
              <w:tc>
                <w:tcPr>
                  <w:tcW w:w="4556" w:type="dxa"/>
                  <w:tcBorders>
                    <w:top w:val="single" w:color="000000" w:sz="4" w:space="0"/>
                    <w:left w:val="single" w:color="auto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594FD362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w:t xml:space="preserve">      地方版银担总对总业务</w:t>
                  </w:r>
                </w:p>
              </w:tc>
              <w:tc>
                <w:tcPr>
                  <w:tcW w:w="175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4D4B823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 xml:space="preserve">76863.80 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0E52F76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26.90%</w:t>
                  </w:r>
                </w:p>
              </w:tc>
            </w:tr>
            <w:tr w14:paraId="01C7EC7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0" w:hRule="atLeast"/>
              </w:trPr>
              <w:tc>
                <w:tcPr>
                  <w:tcW w:w="64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7BCC442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highlight w:val="none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4</w:t>
                  </w:r>
                </w:p>
              </w:tc>
              <w:tc>
                <w:tcPr>
                  <w:tcW w:w="4556" w:type="dxa"/>
                  <w:tcBorders>
                    <w:top w:val="single" w:color="000000" w:sz="4" w:space="0"/>
                    <w:left w:val="single" w:color="auto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19F4B5DE">
                  <w:pPr>
                    <w:keepNext w:val="0"/>
                    <w:keepLines w:val="0"/>
                    <w:widowControl/>
                    <w:suppressLineNumbers w:val="0"/>
                    <w:jc w:val="both"/>
                    <w:textAlignment w:val="center"/>
                    <w:rPr>
                      <w:rFonts w:hint="eastAsia" w:ascii="仿宋" w:hAnsi="仿宋" w:eastAsia="仿宋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Times New Roman"/>
                      <w:b/>
                      <w:bCs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w:t>传统直保业务</w:t>
                  </w:r>
                </w:p>
              </w:tc>
              <w:tc>
                <w:tcPr>
                  <w:tcW w:w="175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CE600B4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 xml:space="preserve">118915.32 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EB53AB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41.61%</w:t>
                  </w:r>
                </w:p>
              </w:tc>
            </w:tr>
            <w:tr w14:paraId="5475BF5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0" w:hRule="atLeast"/>
              </w:trPr>
              <w:tc>
                <w:tcPr>
                  <w:tcW w:w="5204" w:type="dxa"/>
                  <w:gridSpan w:val="2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1B2B8E6A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合计</w:t>
                  </w:r>
                </w:p>
              </w:tc>
              <w:tc>
                <w:tcPr>
                  <w:tcW w:w="175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7307476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 xml:space="preserve">285785.30 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C7A1B1C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100.00%</w:t>
                  </w:r>
                </w:p>
              </w:tc>
            </w:tr>
          </w:tbl>
          <w:p w14:paraId="7520FF1B">
            <w:pPr>
              <w:pStyle w:val="2"/>
              <w:rPr>
                <w:highlight w:val="none"/>
              </w:rPr>
            </w:pPr>
          </w:p>
        </w:tc>
      </w:tr>
      <w:tr w14:paraId="137E0D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099" w:type="dxa"/>
            <w:tcBorders>
              <w:tl2br w:val="nil"/>
              <w:tr2bl w:val="nil"/>
            </w:tcBorders>
            <w:shd w:val="clear" w:color="auto" w:fill="D7D7D7" w:themeFill="background1" w:themeFillShade="D8"/>
            <w:noWrap/>
            <w:vAlign w:val="center"/>
          </w:tcPr>
          <w:p w14:paraId="04F590EA">
            <w:pP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四、结论</w:t>
            </w:r>
          </w:p>
        </w:tc>
      </w:tr>
      <w:tr w14:paraId="3C2573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0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8B2D0E">
            <w:pPr>
              <w:ind w:firstLine="560" w:firstLineChars="200"/>
              <w:rPr>
                <w:rFonts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Cs/>
                <w:sz w:val="28"/>
                <w:szCs w:val="28"/>
                <w:lang w:eastAsia="zh-CN"/>
              </w:rPr>
              <w:t>咸阳担保本次评价期内经营状况稳定，</w:t>
            </w:r>
            <w:r>
              <w:rPr>
                <w:rFonts w:hint="eastAsia" w:ascii="仿宋" w:hAnsi="仿宋" w:eastAsia="仿宋"/>
                <w:bCs/>
                <w:sz w:val="28"/>
                <w:szCs w:val="28"/>
                <w:lang w:val="en-US" w:eastAsia="zh-CN"/>
              </w:rPr>
              <w:t>除</w:t>
            </w:r>
            <w:r>
              <w:rPr>
                <w:rFonts w:hint="eastAsia" w:ascii="仿宋" w:hAnsi="仿宋" w:eastAsia="仿宋"/>
                <w:bCs/>
                <w:sz w:val="28"/>
                <w:szCs w:val="28"/>
                <w:lang w:eastAsia="zh-CN"/>
              </w:rPr>
              <w:t>新增担保业务规模</w:t>
            </w:r>
            <w:r>
              <w:rPr>
                <w:rFonts w:hint="eastAsia" w:ascii="仿宋" w:hAnsi="仿宋" w:eastAsia="仿宋"/>
                <w:bCs/>
                <w:sz w:val="28"/>
                <w:szCs w:val="28"/>
                <w:lang w:val="en-US" w:eastAsia="zh-CN"/>
              </w:rPr>
              <w:t>差距较大外</w:t>
            </w:r>
            <w:r>
              <w:rPr>
                <w:rFonts w:hint="eastAsia" w:ascii="仿宋" w:hAnsi="仿宋" w:eastAsia="仿宋"/>
                <w:bCs/>
                <w:sz w:val="28"/>
                <w:szCs w:val="28"/>
                <w:lang w:eastAsia="zh-CN"/>
              </w:rPr>
              <w:t>，再担保规模</w:t>
            </w:r>
            <w:r>
              <w:rPr>
                <w:rFonts w:hint="eastAsia" w:ascii="仿宋" w:hAnsi="仿宋" w:eastAsia="仿宋"/>
                <w:bCs/>
                <w:sz w:val="28"/>
                <w:szCs w:val="28"/>
                <w:lang w:val="en-US" w:eastAsia="zh-CN"/>
              </w:rPr>
              <w:t>基本完成</w:t>
            </w:r>
            <w:r>
              <w:rPr>
                <w:rFonts w:hint="eastAsia" w:ascii="仿宋" w:hAnsi="仿宋" w:eastAsia="仿宋"/>
                <w:bCs/>
                <w:sz w:val="28"/>
                <w:szCs w:val="28"/>
                <w:lang w:eastAsia="zh-CN"/>
              </w:rPr>
              <w:t>，其余政策目标完成情况良好，建议评定为"正常"类。</w:t>
            </w:r>
          </w:p>
        </w:tc>
      </w:tr>
    </w:tbl>
    <w:p w14:paraId="10270363"/>
    <w:sectPr>
      <w:footerReference r:id="rId3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1913726"/>
      <w:docPartObj>
        <w:docPartGallery w:val="autotext"/>
      </w:docPartObj>
    </w:sdtPr>
    <w:sdtContent>
      <w:p w14:paraId="4A6BD22E">
        <w:pPr>
          <w:pStyle w:val="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  <w:p w14:paraId="0D1085C1">
    <w:pPr>
      <w:pStyle w:val="6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ZWRhNmJkYTE1MDMxMGQ3ZTM5MWViYzM3NTU4NThjNjMifQ=="/>
  </w:docVars>
  <w:rsids>
    <w:rsidRoot w:val="006C6BF7"/>
    <w:rsid w:val="00006066"/>
    <w:rsid w:val="00013FD4"/>
    <w:rsid w:val="00017FA0"/>
    <w:rsid w:val="00021995"/>
    <w:rsid w:val="00023B45"/>
    <w:rsid w:val="00027C2A"/>
    <w:rsid w:val="00045D93"/>
    <w:rsid w:val="00076FBF"/>
    <w:rsid w:val="00082436"/>
    <w:rsid w:val="0008657D"/>
    <w:rsid w:val="00092B26"/>
    <w:rsid w:val="00094934"/>
    <w:rsid w:val="000972A1"/>
    <w:rsid w:val="000978E4"/>
    <w:rsid w:val="000B2B2D"/>
    <w:rsid w:val="000B4A8A"/>
    <w:rsid w:val="000C4310"/>
    <w:rsid w:val="000D031B"/>
    <w:rsid w:val="000D1F9C"/>
    <w:rsid w:val="000D2FF9"/>
    <w:rsid w:val="000F369A"/>
    <w:rsid w:val="000F6562"/>
    <w:rsid w:val="0010024C"/>
    <w:rsid w:val="00106955"/>
    <w:rsid w:val="0011032C"/>
    <w:rsid w:val="00111ED4"/>
    <w:rsid w:val="0013568F"/>
    <w:rsid w:val="00137546"/>
    <w:rsid w:val="00137674"/>
    <w:rsid w:val="00140401"/>
    <w:rsid w:val="00174654"/>
    <w:rsid w:val="00182F96"/>
    <w:rsid w:val="00183E8B"/>
    <w:rsid w:val="001841D4"/>
    <w:rsid w:val="001B0900"/>
    <w:rsid w:val="001B6A34"/>
    <w:rsid w:val="001C2A94"/>
    <w:rsid w:val="001E0E71"/>
    <w:rsid w:val="001E351C"/>
    <w:rsid w:val="001E6943"/>
    <w:rsid w:val="001E771C"/>
    <w:rsid w:val="002076C0"/>
    <w:rsid w:val="00216F46"/>
    <w:rsid w:val="00223AD3"/>
    <w:rsid w:val="00235A28"/>
    <w:rsid w:val="002410F1"/>
    <w:rsid w:val="00253159"/>
    <w:rsid w:val="0025529B"/>
    <w:rsid w:val="00256C29"/>
    <w:rsid w:val="0026557C"/>
    <w:rsid w:val="00267632"/>
    <w:rsid w:val="0027231F"/>
    <w:rsid w:val="002750B7"/>
    <w:rsid w:val="002751B1"/>
    <w:rsid w:val="0029025A"/>
    <w:rsid w:val="00297A52"/>
    <w:rsid w:val="00297B9D"/>
    <w:rsid w:val="002C07FA"/>
    <w:rsid w:val="002C0EB2"/>
    <w:rsid w:val="002C2FB8"/>
    <w:rsid w:val="002E44C8"/>
    <w:rsid w:val="00304FEA"/>
    <w:rsid w:val="003059BC"/>
    <w:rsid w:val="00305F5B"/>
    <w:rsid w:val="00311893"/>
    <w:rsid w:val="00312211"/>
    <w:rsid w:val="003367A0"/>
    <w:rsid w:val="00345A67"/>
    <w:rsid w:val="00345AE4"/>
    <w:rsid w:val="0035087C"/>
    <w:rsid w:val="003530F2"/>
    <w:rsid w:val="00354B5A"/>
    <w:rsid w:val="003627B9"/>
    <w:rsid w:val="00364C2C"/>
    <w:rsid w:val="00386F42"/>
    <w:rsid w:val="00395A1E"/>
    <w:rsid w:val="003C2AF3"/>
    <w:rsid w:val="003D640C"/>
    <w:rsid w:val="003D7999"/>
    <w:rsid w:val="003E1C3B"/>
    <w:rsid w:val="003E43ED"/>
    <w:rsid w:val="003F626F"/>
    <w:rsid w:val="004004E8"/>
    <w:rsid w:val="00410CE7"/>
    <w:rsid w:val="0041110E"/>
    <w:rsid w:val="004115B6"/>
    <w:rsid w:val="00417330"/>
    <w:rsid w:val="00417F74"/>
    <w:rsid w:val="00421D09"/>
    <w:rsid w:val="0043028C"/>
    <w:rsid w:val="00433961"/>
    <w:rsid w:val="004432EC"/>
    <w:rsid w:val="0047723D"/>
    <w:rsid w:val="00477BAE"/>
    <w:rsid w:val="0048206B"/>
    <w:rsid w:val="004A40D3"/>
    <w:rsid w:val="004A6A85"/>
    <w:rsid w:val="004B4E9F"/>
    <w:rsid w:val="004B7958"/>
    <w:rsid w:val="004C6217"/>
    <w:rsid w:val="004C6B41"/>
    <w:rsid w:val="004D40B5"/>
    <w:rsid w:val="004F61FA"/>
    <w:rsid w:val="005231BC"/>
    <w:rsid w:val="00567EC8"/>
    <w:rsid w:val="00572DD5"/>
    <w:rsid w:val="00575D06"/>
    <w:rsid w:val="00580E27"/>
    <w:rsid w:val="00581831"/>
    <w:rsid w:val="00592FE0"/>
    <w:rsid w:val="00596071"/>
    <w:rsid w:val="005A65BD"/>
    <w:rsid w:val="005D4198"/>
    <w:rsid w:val="005E1420"/>
    <w:rsid w:val="005F2B39"/>
    <w:rsid w:val="006231D1"/>
    <w:rsid w:val="00625E0E"/>
    <w:rsid w:val="00630183"/>
    <w:rsid w:val="00642C19"/>
    <w:rsid w:val="00646CD0"/>
    <w:rsid w:val="00647854"/>
    <w:rsid w:val="00654C14"/>
    <w:rsid w:val="00655CAA"/>
    <w:rsid w:val="00665140"/>
    <w:rsid w:val="00666166"/>
    <w:rsid w:val="00670ECD"/>
    <w:rsid w:val="00680C4D"/>
    <w:rsid w:val="006840F6"/>
    <w:rsid w:val="00684E63"/>
    <w:rsid w:val="006C6BF7"/>
    <w:rsid w:val="006D2410"/>
    <w:rsid w:val="006F61D7"/>
    <w:rsid w:val="007051EC"/>
    <w:rsid w:val="007057DA"/>
    <w:rsid w:val="0071440F"/>
    <w:rsid w:val="00717E2E"/>
    <w:rsid w:val="007211FA"/>
    <w:rsid w:val="00725142"/>
    <w:rsid w:val="00744DCF"/>
    <w:rsid w:val="007474C3"/>
    <w:rsid w:val="0075632A"/>
    <w:rsid w:val="0077058D"/>
    <w:rsid w:val="00776C52"/>
    <w:rsid w:val="007831CA"/>
    <w:rsid w:val="007A626C"/>
    <w:rsid w:val="007A758D"/>
    <w:rsid w:val="007A7A77"/>
    <w:rsid w:val="007B3BEC"/>
    <w:rsid w:val="007B6F93"/>
    <w:rsid w:val="007D120D"/>
    <w:rsid w:val="007D6205"/>
    <w:rsid w:val="007E246F"/>
    <w:rsid w:val="007F4FE7"/>
    <w:rsid w:val="007F553E"/>
    <w:rsid w:val="007F5EB2"/>
    <w:rsid w:val="008033AF"/>
    <w:rsid w:val="00805F08"/>
    <w:rsid w:val="00807393"/>
    <w:rsid w:val="008257A3"/>
    <w:rsid w:val="008319F4"/>
    <w:rsid w:val="00835F24"/>
    <w:rsid w:val="00843FC4"/>
    <w:rsid w:val="0084465E"/>
    <w:rsid w:val="00856E7B"/>
    <w:rsid w:val="00877CAA"/>
    <w:rsid w:val="008928E3"/>
    <w:rsid w:val="008A4F25"/>
    <w:rsid w:val="008B4EAF"/>
    <w:rsid w:val="008B6C5D"/>
    <w:rsid w:val="008C1F63"/>
    <w:rsid w:val="008C4037"/>
    <w:rsid w:val="008D500D"/>
    <w:rsid w:val="009025DD"/>
    <w:rsid w:val="00924849"/>
    <w:rsid w:val="00940947"/>
    <w:rsid w:val="0094101C"/>
    <w:rsid w:val="009627D9"/>
    <w:rsid w:val="00967F70"/>
    <w:rsid w:val="009947CE"/>
    <w:rsid w:val="009A41E9"/>
    <w:rsid w:val="009A5A7F"/>
    <w:rsid w:val="009B00C8"/>
    <w:rsid w:val="009C1451"/>
    <w:rsid w:val="009C7199"/>
    <w:rsid w:val="009D2361"/>
    <w:rsid w:val="009D7AF4"/>
    <w:rsid w:val="009E7E9B"/>
    <w:rsid w:val="009F56F0"/>
    <w:rsid w:val="009F5F7B"/>
    <w:rsid w:val="009F7986"/>
    <w:rsid w:val="00A01AC9"/>
    <w:rsid w:val="00A03EB2"/>
    <w:rsid w:val="00A05CFB"/>
    <w:rsid w:val="00A126FE"/>
    <w:rsid w:val="00A20AE4"/>
    <w:rsid w:val="00A24CC5"/>
    <w:rsid w:val="00A43634"/>
    <w:rsid w:val="00A472DA"/>
    <w:rsid w:val="00A50AA2"/>
    <w:rsid w:val="00A53E0F"/>
    <w:rsid w:val="00A61E85"/>
    <w:rsid w:val="00A62D3D"/>
    <w:rsid w:val="00A65D6A"/>
    <w:rsid w:val="00A75C80"/>
    <w:rsid w:val="00A75D35"/>
    <w:rsid w:val="00A81325"/>
    <w:rsid w:val="00A97C55"/>
    <w:rsid w:val="00AA00F0"/>
    <w:rsid w:val="00AA65D8"/>
    <w:rsid w:val="00AB2DAD"/>
    <w:rsid w:val="00AC6E45"/>
    <w:rsid w:val="00AD11F2"/>
    <w:rsid w:val="00AD6AF2"/>
    <w:rsid w:val="00AF7949"/>
    <w:rsid w:val="00B07D50"/>
    <w:rsid w:val="00B105AA"/>
    <w:rsid w:val="00B20E82"/>
    <w:rsid w:val="00B21A95"/>
    <w:rsid w:val="00B22ED2"/>
    <w:rsid w:val="00B23E3A"/>
    <w:rsid w:val="00B25405"/>
    <w:rsid w:val="00B3258C"/>
    <w:rsid w:val="00B55170"/>
    <w:rsid w:val="00B77476"/>
    <w:rsid w:val="00B83898"/>
    <w:rsid w:val="00B90204"/>
    <w:rsid w:val="00B96265"/>
    <w:rsid w:val="00BC4C40"/>
    <w:rsid w:val="00BE499B"/>
    <w:rsid w:val="00C10888"/>
    <w:rsid w:val="00C11F7C"/>
    <w:rsid w:val="00C36500"/>
    <w:rsid w:val="00C372E6"/>
    <w:rsid w:val="00C54EF3"/>
    <w:rsid w:val="00C90CCA"/>
    <w:rsid w:val="00C91CC8"/>
    <w:rsid w:val="00C93967"/>
    <w:rsid w:val="00C944D0"/>
    <w:rsid w:val="00CA2229"/>
    <w:rsid w:val="00CA5606"/>
    <w:rsid w:val="00CA7FED"/>
    <w:rsid w:val="00CB2CA2"/>
    <w:rsid w:val="00CC00F2"/>
    <w:rsid w:val="00CC0EAC"/>
    <w:rsid w:val="00CD15A7"/>
    <w:rsid w:val="00CD1D52"/>
    <w:rsid w:val="00D078DF"/>
    <w:rsid w:val="00D07E83"/>
    <w:rsid w:val="00D14939"/>
    <w:rsid w:val="00D27095"/>
    <w:rsid w:val="00D3392D"/>
    <w:rsid w:val="00D36951"/>
    <w:rsid w:val="00D63EB3"/>
    <w:rsid w:val="00D63FEB"/>
    <w:rsid w:val="00D65938"/>
    <w:rsid w:val="00D717BB"/>
    <w:rsid w:val="00D7489D"/>
    <w:rsid w:val="00D75EFD"/>
    <w:rsid w:val="00D8613E"/>
    <w:rsid w:val="00D90A26"/>
    <w:rsid w:val="00D965BB"/>
    <w:rsid w:val="00DA04D4"/>
    <w:rsid w:val="00DA7DFD"/>
    <w:rsid w:val="00DB3E6F"/>
    <w:rsid w:val="00DC3A08"/>
    <w:rsid w:val="00DC60E8"/>
    <w:rsid w:val="00DC647C"/>
    <w:rsid w:val="00DD2846"/>
    <w:rsid w:val="00DE3909"/>
    <w:rsid w:val="00DE6D1D"/>
    <w:rsid w:val="00DF42A6"/>
    <w:rsid w:val="00DF54EC"/>
    <w:rsid w:val="00DF59EE"/>
    <w:rsid w:val="00DF73E8"/>
    <w:rsid w:val="00E02D8D"/>
    <w:rsid w:val="00E123CE"/>
    <w:rsid w:val="00E13597"/>
    <w:rsid w:val="00E17EB3"/>
    <w:rsid w:val="00E205A4"/>
    <w:rsid w:val="00E20D84"/>
    <w:rsid w:val="00E21C37"/>
    <w:rsid w:val="00E31237"/>
    <w:rsid w:val="00E3463C"/>
    <w:rsid w:val="00E40007"/>
    <w:rsid w:val="00E40DDC"/>
    <w:rsid w:val="00E4407B"/>
    <w:rsid w:val="00E66868"/>
    <w:rsid w:val="00E679BD"/>
    <w:rsid w:val="00E7692F"/>
    <w:rsid w:val="00E85A8B"/>
    <w:rsid w:val="00E938C0"/>
    <w:rsid w:val="00EA4B89"/>
    <w:rsid w:val="00EB0370"/>
    <w:rsid w:val="00EC17F2"/>
    <w:rsid w:val="00EC522A"/>
    <w:rsid w:val="00EC60D1"/>
    <w:rsid w:val="00EC67EC"/>
    <w:rsid w:val="00ED2021"/>
    <w:rsid w:val="00EE1C88"/>
    <w:rsid w:val="00EE66B1"/>
    <w:rsid w:val="00EF0844"/>
    <w:rsid w:val="00EF3C81"/>
    <w:rsid w:val="00EF4726"/>
    <w:rsid w:val="00EF731C"/>
    <w:rsid w:val="00F10555"/>
    <w:rsid w:val="00F43464"/>
    <w:rsid w:val="00F460D8"/>
    <w:rsid w:val="00F51810"/>
    <w:rsid w:val="00F77A6C"/>
    <w:rsid w:val="00F84D85"/>
    <w:rsid w:val="00FB678E"/>
    <w:rsid w:val="00FC73F4"/>
    <w:rsid w:val="00FC7779"/>
    <w:rsid w:val="00FD2A76"/>
    <w:rsid w:val="00FE151C"/>
    <w:rsid w:val="00FE61DF"/>
    <w:rsid w:val="00FF1E18"/>
    <w:rsid w:val="0185519C"/>
    <w:rsid w:val="029D518A"/>
    <w:rsid w:val="02ED4364"/>
    <w:rsid w:val="03393105"/>
    <w:rsid w:val="03AE7630"/>
    <w:rsid w:val="044E2BE0"/>
    <w:rsid w:val="04A56FD1"/>
    <w:rsid w:val="04D05CEB"/>
    <w:rsid w:val="0528745D"/>
    <w:rsid w:val="05677376"/>
    <w:rsid w:val="05B178CA"/>
    <w:rsid w:val="07B86435"/>
    <w:rsid w:val="07CD1555"/>
    <w:rsid w:val="07D97D66"/>
    <w:rsid w:val="07E20F3E"/>
    <w:rsid w:val="082576A4"/>
    <w:rsid w:val="09107C0A"/>
    <w:rsid w:val="092246F0"/>
    <w:rsid w:val="09B62AC6"/>
    <w:rsid w:val="09E810D6"/>
    <w:rsid w:val="0A2B0948"/>
    <w:rsid w:val="0AC664D1"/>
    <w:rsid w:val="0B0C7351"/>
    <w:rsid w:val="0B340C1A"/>
    <w:rsid w:val="0B577E4B"/>
    <w:rsid w:val="0BAE0408"/>
    <w:rsid w:val="0C045577"/>
    <w:rsid w:val="0CBE09BF"/>
    <w:rsid w:val="0CC85BED"/>
    <w:rsid w:val="0CFF716D"/>
    <w:rsid w:val="0E5057A7"/>
    <w:rsid w:val="0E930185"/>
    <w:rsid w:val="0EC43B83"/>
    <w:rsid w:val="0EF820C6"/>
    <w:rsid w:val="0F271D32"/>
    <w:rsid w:val="0F737611"/>
    <w:rsid w:val="0F8446F2"/>
    <w:rsid w:val="0FBC1657"/>
    <w:rsid w:val="0FD302F0"/>
    <w:rsid w:val="11E15093"/>
    <w:rsid w:val="12040E66"/>
    <w:rsid w:val="14275623"/>
    <w:rsid w:val="142E20E6"/>
    <w:rsid w:val="151D1F79"/>
    <w:rsid w:val="15E52C78"/>
    <w:rsid w:val="164E4CC1"/>
    <w:rsid w:val="16F838BF"/>
    <w:rsid w:val="177D1B91"/>
    <w:rsid w:val="18462087"/>
    <w:rsid w:val="187A2AED"/>
    <w:rsid w:val="18B03A11"/>
    <w:rsid w:val="19D14694"/>
    <w:rsid w:val="1B157ABC"/>
    <w:rsid w:val="1B1C28F3"/>
    <w:rsid w:val="1C116ED1"/>
    <w:rsid w:val="1D8A169B"/>
    <w:rsid w:val="1DDF59F0"/>
    <w:rsid w:val="1DF75C3F"/>
    <w:rsid w:val="1EC75611"/>
    <w:rsid w:val="1F002A35"/>
    <w:rsid w:val="1F6F34F3"/>
    <w:rsid w:val="2011123A"/>
    <w:rsid w:val="20BD3291"/>
    <w:rsid w:val="20D66618"/>
    <w:rsid w:val="20F55CAD"/>
    <w:rsid w:val="21B8263B"/>
    <w:rsid w:val="21C24618"/>
    <w:rsid w:val="21ED3293"/>
    <w:rsid w:val="22E85D78"/>
    <w:rsid w:val="238312C2"/>
    <w:rsid w:val="238701D6"/>
    <w:rsid w:val="23883354"/>
    <w:rsid w:val="23A75A11"/>
    <w:rsid w:val="23D82079"/>
    <w:rsid w:val="243C7723"/>
    <w:rsid w:val="24C95D23"/>
    <w:rsid w:val="25575477"/>
    <w:rsid w:val="26111718"/>
    <w:rsid w:val="272C7B24"/>
    <w:rsid w:val="27B47BDC"/>
    <w:rsid w:val="28A82713"/>
    <w:rsid w:val="297459BB"/>
    <w:rsid w:val="29781F69"/>
    <w:rsid w:val="2A4C33CE"/>
    <w:rsid w:val="2B2A008F"/>
    <w:rsid w:val="2B5C6960"/>
    <w:rsid w:val="2BC144C3"/>
    <w:rsid w:val="2BFC707E"/>
    <w:rsid w:val="2C5B13C8"/>
    <w:rsid w:val="2C90612D"/>
    <w:rsid w:val="2DF46F6B"/>
    <w:rsid w:val="2F07314A"/>
    <w:rsid w:val="2F1D2B78"/>
    <w:rsid w:val="2F9C21A2"/>
    <w:rsid w:val="2FAA514B"/>
    <w:rsid w:val="301028A2"/>
    <w:rsid w:val="305D2290"/>
    <w:rsid w:val="30D51E0F"/>
    <w:rsid w:val="3287538B"/>
    <w:rsid w:val="32B20B24"/>
    <w:rsid w:val="32FE5B6E"/>
    <w:rsid w:val="32FF5D8A"/>
    <w:rsid w:val="33244163"/>
    <w:rsid w:val="338973EF"/>
    <w:rsid w:val="33A855B9"/>
    <w:rsid w:val="348C7AC7"/>
    <w:rsid w:val="34A00986"/>
    <w:rsid w:val="35732B8E"/>
    <w:rsid w:val="35972500"/>
    <w:rsid w:val="35977D9C"/>
    <w:rsid w:val="36041FFC"/>
    <w:rsid w:val="36356EAC"/>
    <w:rsid w:val="36C95F72"/>
    <w:rsid w:val="37003D5C"/>
    <w:rsid w:val="380F05CE"/>
    <w:rsid w:val="381476C1"/>
    <w:rsid w:val="381F7662"/>
    <w:rsid w:val="38417E00"/>
    <w:rsid w:val="3843612D"/>
    <w:rsid w:val="387D36BE"/>
    <w:rsid w:val="38CB2696"/>
    <w:rsid w:val="39422488"/>
    <w:rsid w:val="39E22CA9"/>
    <w:rsid w:val="3A0862D3"/>
    <w:rsid w:val="3A65634C"/>
    <w:rsid w:val="3BDF7FE6"/>
    <w:rsid w:val="3CED228F"/>
    <w:rsid w:val="3D6D4EBC"/>
    <w:rsid w:val="3F7A2500"/>
    <w:rsid w:val="40B96AF8"/>
    <w:rsid w:val="40BA5922"/>
    <w:rsid w:val="40C94DC1"/>
    <w:rsid w:val="414A54B0"/>
    <w:rsid w:val="41687A48"/>
    <w:rsid w:val="418D13E5"/>
    <w:rsid w:val="42552D21"/>
    <w:rsid w:val="435B1320"/>
    <w:rsid w:val="44627E8E"/>
    <w:rsid w:val="44F95A44"/>
    <w:rsid w:val="45A13100"/>
    <w:rsid w:val="4690119E"/>
    <w:rsid w:val="46DC45FD"/>
    <w:rsid w:val="480B18E7"/>
    <w:rsid w:val="48402488"/>
    <w:rsid w:val="48851013"/>
    <w:rsid w:val="48897EFD"/>
    <w:rsid w:val="494D2C16"/>
    <w:rsid w:val="499248EA"/>
    <w:rsid w:val="4A3A3B7D"/>
    <w:rsid w:val="4AA85A47"/>
    <w:rsid w:val="4AEB1EF7"/>
    <w:rsid w:val="4B044C6D"/>
    <w:rsid w:val="4BFC429C"/>
    <w:rsid w:val="4CBB01EB"/>
    <w:rsid w:val="4D84279B"/>
    <w:rsid w:val="4D9F1383"/>
    <w:rsid w:val="4DAD3D1E"/>
    <w:rsid w:val="4E834CC5"/>
    <w:rsid w:val="4E8E7E7D"/>
    <w:rsid w:val="4E921EF1"/>
    <w:rsid w:val="4EF62548"/>
    <w:rsid w:val="50BA3B99"/>
    <w:rsid w:val="53737419"/>
    <w:rsid w:val="537B635B"/>
    <w:rsid w:val="53AC6A8C"/>
    <w:rsid w:val="53D27687"/>
    <w:rsid w:val="54493B8D"/>
    <w:rsid w:val="551D18FD"/>
    <w:rsid w:val="557E7AFE"/>
    <w:rsid w:val="565458F3"/>
    <w:rsid w:val="574F3D09"/>
    <w:rsid w:val="57686183"/>
    <w:rsid w:val="58CB65DD"/>
    <w:rsid w:val="58E149FB"/>
    <w:rsid w:val="5A470FDB"/>
    <w:rsid w:val="5A6B2D19"/>
    <w:rsid w:val="5AC6035D"/>
    <w:rsid w:val="5B342405"/>
    <w:rsid w:val="5B9A08D9"/>
    <w:rsid w:val="5CA374D8"/>
    <w:rsid w:val="5CDD3C76"/>
    <w:rsid w:val="5D5C4B9B"/>
    <w:rsid w:val="5D9C6876"/>
    <w:rsid w:val="5DD10A46"/>
    <w:rsid w:val="5DEA0E92"/>
    <w:rsid w:val="5E1E0A96"/>
    <w:rsid w:val="5ED43D20"/>
    <w:rsid w:val="5EFF6126"/>
    <w:rsid w:val="5FE24B27"/>
    <w:rsid w:val="5FFB7AAD"/>
    <w:rsid w:val="5FFE0F82"/>
    <w:rsid w:val="600849BF"/>
    <w:rsid w:val="60F77927"/>
    <w:rsid w:val="61446072"/>
    <w:rsid w:val="616D1DF5"/>
    <w:rsid w:val="61D2367E"/>
    <w:rsid w:val="61F47ADB"/>
    <w:rsid w:val="61FB2295"/>
    <w:rsid w:val="621F4953"/>
    <w:rsid w:val="62310C64"/>
    <w:rsid w:val="63237B46"/>
    <w:rsid w:val="63EC7881"/>
    <w:rsid w:val="641D0AFF"/>
    <w:rsid w:val="643A3E45"/>
    <w:rsid w:val="64925D9F"/>
    <w:rsid w:val="64E53217"/>
    <w:rsid w:val="6535248D"/>
    <w:rsid w:val="65DE3621"/>
    <w:rsid w:val="663B22BC"/>
    <w:rsid w:val="66C249F7"/>
    <w:rsid w:val="67D363A2"/>
    <w:rsid w:val="680045F2"/>
    <w:rsid w:val="68120D25"/>
    <w:rsid w:val="687539A9"/>
    <w:rsid w:val="692A1FF1"/>
    <w:rsid w:val="6A537326"/>
    <w:rsid w:val="6B3259D5"/>
    <w:rsid w:val="6C070576"/>
    <w:rsid w:val="6C964F9D"/>
    <w:rsid w:val="6D1A33C5"/>
    <w:rsid w:val="6D703358"/>
    <w:rsid w:val="6DD00650"/>
    <w:rsid w:val="6DDB098D"/>
    <w:rsid w:val="6EC4580A"/>
    <w:rsid w:val="6F0B7784"/>
    <w:rsid w:val="6FC21DAB"/>
    <w:rsid w:val="70F84888"/>
    <w:rsid w:val="710C2EFA"/>
    <w:rsid w:val="711155F4"/>
    <w:rsid w:val="71554A0A"/>
    <w:rsid w:val="719F230E"/>
    <w:rsid w:val="72C01266"/>
    <w:rsid w:val="730F0E67"/>
    <w:rsid w:val="73157707"/>
    <w:rsid w:val="736D3206"/>
    <w:rsid w:val="73EF6311"/>
    <w:rsid w:val="746C0889"/>
    <w:rsid w:val="74795BDB"/>
    <w:rsid w:val="749F7D37"/>
    <w:rsid w:val="74A662B1"/>
    <w:rsid w:val="74B72A82"/>
    <w:rsid w:val="75576B27"/>
    <w:rsid w:val="75691880"/>
    <w:rsid w:val="75954C96"/>
    <w:rsid w:val="762C55FB"/>
    <w:rsid w:val="76CC05A1"/>
    <w:rsid w:val="773C7ABF"/>
    <w:rsid w:val="778A57FA"/>
    <w:rsid w:val="77BA7264"/>
    <w:rsid w:val="77C41863"/>
    <w:rsid w:val="7835263F"/>
    <w:rsid w:val="7835751D"/>
    <w:rsid w:val="78746DE5"/>
    <w:rsid w:val="78F341AE"/>
    <w:rsid w:val="79670EA1"/>
    <w:rsid w:val="7AB7768C"/>
    <w:rsid w:val="7AF9027C"/>
    <w:rsid w:val="7B9308B8"/>
    <w:rsid w:val="7BDD59BA"/>
    <w:rsid w:val="7BFC44A3"/>
    <w:rsid w:val="7C631359"/>
    <w:rsid w:val="7C9751FC"/>
    <w:rsid w:val="7CB7750F"/>
    <w:rsid w:val="7E650B61"/>
    <w:rsid w:val="7EC25CB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nhideWhenUsed="0" w:uiPriority="99" w:semiHidden="0" w:name="Body Text First Indent 2"/>
    <w:lsdException w:uiPriority="99" w:name="Note Heading"/>
    <w:lsdException w:qFormat="1" w:unhideWhenUsed="0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autoRedefine/>
    <w:semiHidden/>
    <w:unhideWhenUsed/>
    <w:qFormat/>
    <w:uiPriority w:val="1"/>
  </w:style>
  <w:style w:type="table" w:default="1" w:styleId="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qFormat/>
    <w:uiPriority w:val="99"/>
    <w:pPr>
      <w:spacing w:line="500" w:lineRule="exact"/>
      <w:ind w:left="1588" w:leftChars="832" w:firstLine="420" w:firstLineChars="200"/>
    </w:pPr>
  </w:style>
  <w:style w:type="paragraph" w:styleId="3">
    <w:name w:val="Body Text Indent"/>
    <w:basedOn w:val="1"/>
    <w:qFormat/>
    <w:uiPriority w:val="0"/>
    <w:rPr>
      <w:szCs w:val="20"/>
    </w:rPr>
  </w:style>
  <w:style w:type="paragraph" w:styleId="4">
    <w:name w:val="Body Text"/>
    <w:basedOn w:val="1"/>
    <w:next w:val="5"/>
    <w:qFormat/>
    <w:uiPriority w:val="99"/>
    <w:pPr>
      <w:autoSpaceDE w:val="0"/>
      <w:autoSpaceDN w:val="0"/>
      <w:jc w:val="left"/>
    </w:pPr>
    <w:rPr>
      <w:rFonts w:eastAsia="华文仿宋" w:cs="宋体"/>
      <w:kern w:val="0"/>
      <w:sz w:val="28"/>
      <w:szCs w:val="28"/>
      <w:lang w:val="zh-CN"/>
    </w:rPr>
  </w:style>
  <w:style w:type="paragraph" w:styleId="5">
    <w:name w:val="Body Text 2"/>
    <w:basedOn w:val="1"/>
    <w:qFormat/>
    <w:uiPriority w:val="99"/>
    <w:pPr>
      <w:adjustRightInd w:val="0"/>
      <w:snapToGrid w:val="0"/>
      <w:spacing w:line="480" w:lineRule="atLeast"/>
    </w:pPr>
    <w:rPr>
      <w:rFonts w:ascii="宋体" w:hAnsi="宋体"/>
      <w:sz w:val="28"/>
    </w:rPr>
  </w:style>
  <w:style w:type="paragraph" w:styleId="6">
    <w:name w:val="footer"/>
    <w:basedOn w:val="1"/>
    <w:link w:val="1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customStyle="1" w:styleId="12">
    <w:name w:val="页眉 Char"/>
    <w:basedOn w:val="10"/>
    <w:link w:val="7"/>
    <w:autoRedefine/>
    <w:qFormat/>
    <w:uiPriority w:val="99"/>
    <w:rPr>
      <w:kern w:val="2"/>
      <w:sz w:val="18"/>
      <w:szCs w:val="18"/>
    </w:rPr>
  </w:style>
  <w:style w:type="character" w:customStyle="1" w:styleId="13">
    <w:name w:val="页脚 Char"/>
    <w:basedOn w:val="10"/>
    <w:link w:val="6"/>
    <w:autoRedefine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A59DE-4D06-4ECE-914E-FDB0D8F5DDC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 R C</Company>
  <Pages>3</Pages>
  <Words>890</Words>
  <Characters>1144</Characters>
  <Lines>13</Lines>
  <Paragraphs>3</Paragraphs>
  <TotalTime>6</TotalTime>
  <ScaleCrop>false</ScaleCrop>
  <LinksUpToDate>false</LinksUpToDate>
  <CharactersWithSpaces>1240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2022-04-27T02:23:00Z</dcterms:created>
  <dc:creator>Windows User</dc:creator>
  <cp:lastModifiedBy>徐涛</cp:lastModifiedBy>
  <cp:lastPrinted>2023-09-01T01:29:00Z</cp:lastPrinted>
  <dcterms:modified xsi:type="dcterms:W3CDTF">2026-01-14T08:57:22Z</dcterms:modified>
  <cp:revision>143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9D871B9651704BE9A2FFF670B3975483</vt:lpwstr>
  </property>
  <property fmtid="{D5CDD505-2E9C-101B-9397-08002B2CF9AE}" pid="4" name="KSOTemplateDocerSaveRecord">
    <vt:lpwstr>eyJoZGlkIjoiZjY3ZjJkZWEwOWFjNzZkZWE0MTU4OGFhNzBjZDRlN2IiLCJ1c2VySWQiOiIxMTQ1MjMzMjUzIn0=</vt:lpwstr>
  </property>
</Properties>
</file>