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F29A4">
      <w:pPr>
        <w:jc w:val="center"/>
        <w:rPr>
          <w:rFonts w:ascii="黑体" w:hAnsi="黑体" w:eastAsia="黑体"/>
          <w:sz w:val="44"/>
          <w:szCs w:val="44"/>
        </w:rPr>
      </w:pPr>
    </w:p>
    <w:p w14:paraId="464F35CD">
      <w:pPr>
        <w:jc w:val="center"/>
        <w:rPr>
          <w:rFonts w:ascii="黑体" w:hAnsi="黑体" w:eastAsia="黑体"/>
          <w:sz w:val="44"/>
          <w:szCs w:val="44"/>
        </w:rPr>
      </w:pPr>
    </w:p>
    <w:p w14:paraId="39714B92">
      <w:pPr>
        <w:jc w:val="center"/>
        <w:rPr>
          <w:rFonts w:ascii="黑体" w:hAnsi="黑体" w:eastAsia="黑体"/>
          <w:sz w:val="44"/>
          <w:szCs w:val="44"/>
        </w:rPr>
      </w:pPr>
    </w:p>
    <w:p w14:paraId="76ADF792"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陕西省政府性融资担保机构综合评价报告</w:t>
      </w:r>
    </w:p>
    <w:p w14:paraId="75D2849C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1F3D312C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93A4B61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06CD3421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70CC4B5F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538A4DBF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4B53DB17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34843EF8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4A040F2C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1C92CDBF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10521790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77B7E3D0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F0D17F9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2FCC887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7D13411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B73148E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A548FD3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5429175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05FFB547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62703BDD">
      <w:pPr>
        <w:jc w:val="center"/>
        <w:rPr>
          <w:rFonts w:ascii="仿宋_GB2312" w:hAnsi="黑体" w:eastAsia="仿宋_GB2312"/>
          <w:b/>
          <w:sz w:val="24"/>
          <w:szCs w:val="24"/>
        </w:rPr>
      </w:pPr>
    </w:p>
    <w:p w14:paraId="2B4D25A8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  <w:lang w:eastAsia="zh-CN"/>
        </w:rPr>
      </w:pPr>
      <w:r>
        <w:rPr>
          <w:rFonts w:hint="eastAsia" w:ascii="仿宋" w:hAnsi="仿宋" w:eastAsia="仿宋"/>
          <w:sz w:val="28"/>
          <w:szCs w:val="28"/>
          <w:u w:val="none"/>
        </w:rPr>
        <w:t>机构名称：</w:t>
      </w:r>
      <w:r>
        <w:rPr>
          <w:rFonts w:hint="eastAsia" w:ascii="仿宋" w:hAnsi="仿宋" w:eastAsia="仿宋"/>
          <w:sz w:val="28"/>
          <w:szCs w:val="28"/>
          <w:u w:val="none"/>
          <w:lang w:eastAsia="zh-CN"/>
        </w:rPr>
        <w:t>西安曲江文化产业融资担保有限公司</w:t>
      </w:r>
    </w:p>
    <w:p w14:paraId="04364978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</w:rPr>
      </w:pPr>
      <w:r>
        <w:rPr>
          <w:rFonts w:hint="eastAsia" w:ascii="仿宋" w:hAnsi="仿宋" w:eastAsia="仿宋"/>
          <w:sz w:val="28"/>
          <w:szCs w:val="28"/>
          <w:u w:val="none"/>
        </w:rPr>
        <w:t xml:space="preserve">调查部门：业务一部        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 </w:t>
      </w:r>
    </w:p>
    <w:p w14:paraId="44DA3369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</w:rPr>
      </w:pPr>
      <w:r>
        <w:rPr>
          <w:rFonts w:hint="eastAsia" w:ascii="仿宋" w:hAnsi="仿宋" w:eastAsia="仿宋"/>
          <w:sz w:val="28"/>
          <w:szCs w:val="28"/>
          <w:u w:val="none"/>
        </w:rPr>
        <w:t>调查人员：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徐涛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    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</w:t>
      </w:r>
    </w:p>
    <w:p w14:paraId="0120D8DB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u w:val="none"/>
        </w:rPr>
        <w:t>约谈对象：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曹玮真 业务经理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</w:t>
      </w:r>
    </w:p>
    <w:p w14:paraId="1BC66279">
      <w:pPr>
        <w:ind w:firstLine="1680" w:firstLineChars="600"/>
        <w:rPr>
          <w:rFonts w:hint="eastAsia" w:ascii="仿宋" w:hAnsi="仿宋" w:eastAsia="仿宋"/>
          <w:sz w:val="28"/>
          <w:szCs w:val="28"/>
          <w:u w:val="none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u w:val="none"/>
        </w:rPr>
        <w:t>调查时间：202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6</w:t>
      </w:r>
      <w:r>
        <w:rPr>
          <w:rFonts w:hint="eastAsia" w:ascii="仿宋" w:hAnsi="仿宋" w:eastAsia="仿宋"/>
          <w:sz w:val="28"/>
          <w:szCs w:val="28"/>
          <w:u w:val="none"/>
        </w:rPr>
        <w:t>年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  <w:u w:val="none"/>
        </w:rPr>
        <w:t>月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>14</w:t>
      </w:r>
      <w:bookmarkStart w:id="0" w:name="_GoBack"/>
      <w:bookmarkEnd w:id="0"/>
      <w:r>
        <w:rPr>
          <w:rFonts w:hint="eastAsia" w:ascii="仿宋" w:hAnsi="仿宋" w:eastAsia="仿宋"/>
          <w:sz w:val="28"/>
          <w:szCs w:val="28"/>
          <w:u w:val="none"/>
        </w:rPr>
        <w:t xml:space="preserve">日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</w:t>
      </w:r>
      <w:r>
        <w:rPr>
          <w:rFonts w:hint="eastAsia" w:ascii="仿宋" w:hAnsi="仿宋" w:eastAsia="仿宋"/>
          <w:sz w:val="28"/>
          <w:szCs w:val="28"/>
          <w:u w:val="none"/>
        </w:rPr>
        <w:t xml:space="preserve">     </w:t>
      </w:r>
      <w:r>
        <w:rPr>
          <w:rFonts w:hint="eastAsia" w:ascii="仿宋" w:hAnsi="仿宋" w:eastAsia="仿宋"/>
          <w:sz w:val="28"/>
          <w:szCs w:val="28"/>
          <w:u w:val="none"/>
          <w:lang w:val="en-US" w:eastAsia="zh-CN"/>
        </w:rPr>
        <w:t xml:space="preserve">      </w:t>
      </w:r>
    </w:p>
    <w:p w14:paraId="6947757B">
      <w:pPr>
        <w:rPr>
          <w:rFonts w:ascii="仿宋_GB2312" w:hAnsi="仿宋" w:eastAsia="仿宋_GB2312"/>
          <w:sz w:val="28"/>
          <w:szCs w:val="28"/>
        </w:rPr>
      </w:pPr>
    </w:p>
    <w:p w14:paraId="110093A1">
      <w:pPr>
        <w:rPr>
          <w:rFonts w:ascii="仿宋_GB2312" w:hAnsi="仿宋" w:eastAsia="仿宋_GB2312"/>
          <w:sz w:val="28"/>
          <w:szCs w:val="28"/>
        </w:rPr>
      </w:pPr>
    </w:p>
    <w:p w14:paraId="275D28B7">
      <w:pPr>
        <w:rPr>
          <w:rFonts w:ascii="仿宋_GB2312" w:hAnsi="仿宋" w:eastAsia="仿宋_GB2312"/>
          <w:sz w:val="28"/>
          <w:szCs w:val="28"/>
        </w:rPr>
      </w:pPr>
    </w:p>
    <w:tbl>
      <w:tblPr>
        <w:tblStyle w:val="8"/>
        <w:tblW w:w="909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9"/>
      </w:tblGrid>
      <w:tr w14:paraId="02A13C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6EF71DFB">
            <w:pP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</w:rPr>
              <w:t>一、经营情况变化及分析</w:t>
            </w:r>
          </w:p>
        </w:tc>
      </w:tr>
      <w:tr w14:paraId="45A628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55AA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76" w:firstLineChars="0"/>
              <w:rPr>
                <w:rFonts w:hint="default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西安曲江文化产业融资担保有限公司（以下简称曲江担保）成立于2008年5月，注册资本12.16亿元。法定代表人王青，控股股东为西安曲江文化金融控股（集团）有限公司（持股比例83.55%）。</w:t>
            </w:r>
          </w:p>
          <w:p w14:paraId="4662D1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576" w:firstLineChars="0"/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截至2025年12月末，曲江担保在保余额18.05亿元，在保户数3690户，净资产13.76亿元。我司对曲江担保本年度评价等次为“C”，对应评价结果为合格类。</w:t>
            </w:r>
          </w:p>
          <w:p w14:paraId="67E9BDFD">
            <w:pPr>
              <w:ind w:firstLine="576"/>
              <w:rPr>
                <w:rFonts w:hint="default" w:ascii="仿宋" w:hAnsi="仿宋" w:eastAsia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本次评价期内，曲江担保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法人治理结构、股权结构、法定代表人、主要管理层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和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对外投资等关键经营情况未发生变化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。</w:t>
            </w:r>
          </w:p>
        </w:tc>
      </w:tr>
      <w:tr w14:paraId="7927D7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6CD4BF51">
            <w:pPr>
              <w:rPr>
                <w:rFonts w:ascii="仿宋_GB2312" w:hAnsi="仿宋" w:eastAsia="仿宋_GB2312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" w:eastAsia="仿宋_GB2312"/>
                <w:b/>
                <w:bCs/>
                <w:sz w:val="28"/>
                <w:szCs w:val="28"/>
                <w:highlight w:val="none"/>
              </w:rPr>
              <w:t>二、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val="en-US" w:eastAsia="zh-CN"/>
              </w:rPr>
              <w:t>年度政策目标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</w:rPr>
              <w:t>完成情况</w:t>
            </w:r>
          </w:p>
        </w:tc>
      </w:tr>
      <w:tr w14:paraId="015ED7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66131B">
            <w:pPr>
              <w:ind w:firstLine="560" w:firstLineChars="0"/>
              <w:rPr>
                <w:rFonts w:hint="eastAsia" w:ascii="仿宋" w:hAnsi="仿宋" w:eastAsia="仿宋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202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年我司为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曲江担保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下达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了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8项</w:t>
            </w:r>
            <w:r>
              <w:rPr>
                <w:rFonts w:hint="eastAsia" w:ascii="仿宋" w:hAnsi="仿宋" w:eastAsia="仿宋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年度业务合作政策目标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，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各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eastAsia="zh-CN"/>
              </w:rPr>
              <w:t>指标详情及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val="en-US" w:eastAsia="zh-CN"/>
              </w:rPr>
              <w:t>12月底</w:t>
            </w:r>
            <w:r>
              <w:rPr>
                <w:rFonts w:hint="eastAsia" w:ascii="仿宋" w:hAnsi="仿宋" w:eastAsia="仿宋" w:cs="Times New Roman"/>
                <w:sz w:val="28"/>
                <w:szCs w:val="28"/>
                <w:highlight w:val="none"/>
                <w:lang w:eastAsia="zh-CN"/>
              </w:rPr>
              <w:t>进度情况如下：</w:t>
            </w:r>
          </w:p>
          <w:p w14:paraId="0725BF34">
            <w:pPr>
              <w:ind w:firstLine="6850" w:firstLineChars="3262"/>
              <w:jc w:val="left"/>
              <w:rPr>
                <w:rFonts w:ascii="仿宋" w:hAnsi="仿宋" w:eastAsia="仿宋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zCs w:val="21"/>
                <w:highlight w:val="none"/>
              </w:rPr>
              <w:t>单位：亿元、倍、%</w:t>
            </w:r>
          </w:p>
          <w:tbl>
            <w:tblPr>
              <w:tblStyle w:val="9"/>
              <w:tblW w:w="8967" w:type="dxa"/>
              <w:tblInd w:w="-6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60"/>
              <w:gridCol w:w="1107"/>
              <w:gridCol w:w="1009"/>
              <w:gridCol w:w="977"/>
              <w:gridCol w:w="871"/>
              <w:gridCol w:w="1030"/>
              <w:gridCol w:w="854"/>
              <w:gridCol w:w="1056"/>
              <w:gridCol w:w="903"/>
            </w:tblGrid>
            <w:tr w14:paraId="6089DC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82" w:hRule="atLeast"/>
              </w:trPr>
              <w:tc>
                <w:tcPr>
                  <w:tcW w:w="1160" w:type="dxa"/>
                  <w:vAlign w:val="center"/>
                </w:tcPr>
                <w:p w14:paraId="3FCEAC8B">
                  <w:pPr>
                    <w:keepNext w:val="0"/>
                    <w:keepLines w:val="0"/>
                    <w:widowControl/>
                    <w:suppressLineNumbers w:val="0"/>
                    <w:ind w:firstLine="0"/>
                    <w:jc w:val="left"/>
                    <w:textAlignment w:val="auto"/>
                    <w:rPr>
                      <w:rFonts w:ascii="仿宋" w:hAnsi="仿宋" w:eastAsia="仿宋"/>
                      <w:sz w:val="28"/>
                      <w:szCs w:val="28"/>
                      <w:highlight w:val="none"/>
                      <w:vertAlign w:val="baseline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指标名称</w:t>
                  </w:r>
                </w:p>
              </w:tc>
              <w:tc>
                <w:tcPr>
                  <w:tcW w:w="1107" w:type="dxa"/>
                  <w:vAlign w:val="center"/>
                </w:tcPr>
                <w:p w14:paraId="5EDCA2A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新增担保业务规模</w:t>
                  </w:r>
                </w:p>
              </w:tc>
              <w:tc>
                <w:tcPr>
                  <w:tcW w:w="1009" w:type="dxa"/>
                  <w:vAlign w:val="center"/>
                </w:tcPr>
                <w:p w14:paraId="2A4F4ED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小微三农融资担保业务占比</w:t>
                  </w:r>
                </w:p>
              </w:tc>
              <w:tc>
                <w:tcPr>
                  <w:tcW w:w="977" w:type="dxa"/>
                  <w:vAlign w:val="center"/>
                </w:tcPr>
                <w:p w14:paraId="5A563AB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单户500万以下融资担保业务占比</w:t>
                  </w:r>
                </w:p>
              </w:tc>
              <w:tc>
                <w:tcPr>
                  <w:tcW w:w="871" w:type="dxa"/>
                  <w:vAlign w:val="center"/>
                </w:tcPr>
                <w:p w14:paraId="0F0EBE9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再担保规模</w:t>
                  </w:r>
                </w:p>
              </w:tc>
              <w:tc>
                <w:tcPr>
                  <w:tcW w:w="1030" w:type="dxa"/>
                  <w:vAlign w:val="center"/>
                </w:tcPr>
                <w:p w14:paraId="57204C6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分险业务占比</w:t>
                  </w:r>
                </w:p>
              </w:tc>
              <w:tc>
                <w:tcPr>
                  <w:tcW w:w="854" w:type="dxa"/>
                  <w:vAlign w:val="center"/>
                </w:tcPr>
                <w:p w14:paraId="69547AC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担保放大倍数</w:t>
                  </w:r>
                </w:p>
              </w:tc>
              <w:tc>
                <w:tcPr>
                  <w:tcW w:w="1056" w:type="dxa"/>
                  <w:vAlign w:val="center"/>
                </w:tcPr>
                <w:p w14:paraId="2F5F7D1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合作业务代偿率</w:t>
                  </w:r>
                </w:p>
              </w:tc>
              <w:tc>
                <w:tcPr>
                  <w:tcW w:w="903" w:type="dxa"/>
                  <w:vAlign w:val="center"/>
                </w:tcPr>
                <w:p w14:paraId="25FEC68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代偿补偿返还率</w:t>
                  </w:r>
                </w:p>
              </w:tc>
            </w:tr>
            <w:tr w14:paraId="68DF37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4" w:hRule="atLeast"/>
              </w:trPr>
              <w:tc>
                <w:tcPr>
                  <w:tcW w:w="1160" w:type="dxa"/>
                  <w:vAlign w:val="center"/>
                </w:tcPr>
                <w:p w14:paraId="6159A898">
                  <w:pPr>
                    <w:widowControl/>
                    <w:spacing w:line="240" w:lineRule="auto"/>
                    <w:ind w:firstLine="0"/>
                    <w:jc w:val="left"/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vertAlign w:val="baseline"/>
                      <w:lang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bidi="ar"/>
                    </w:rPr>
                    <w:t>目标值</w:t>
                  </w:r>
                </w:p>
              </w:tc>
              <w:tc>
                <w:tcPr>
                  <w:tcW w:w="1107" w:type="dxa"/>
                  <w:shd w:val="clear" w:color="auto" w:fill="auto"/>
                  <w:vAlign w:val="center"/>
                </w:tcPr>
                <w:p w14:paraId="38FB0A5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15.00 </w:t>
                  </w:r>
                </w:p>
              </w:tc>
              <w:tc>
                <w:tcPr>
                  <w:tcW w:w="1009" w:type="dxa"/>
                  <w:shd w:val="clear" w:color="auto" w:fill="auto"/>
                  <w:vAlign w:val="center"/>
                </w:tcPr>
                <w:p w14:paraId="00FCB61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80.00%</w:t>
                  </w:r>
                </w:p>
              </w:tc>
              <w:tc>
                <w:tcPr>
                  <w:tcW w:w="977" w:type="dxa"/>
                  <w:shd w:val="clear" w:color="auto" w:fill="auto"/>
                  <w:vAlign w:val="center"/>
                </w:tcPr>
                <w:p w14:paraId="6DE2C10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50.00%</w:t>
                  </w:r>
                </w:p>
              </w:tc>
              <w:tc>
                <w:tcPr>
                  <w:tcW w:w="871" w:type="dxa"/>
                  <w:shd w:val="clear" w:color="auto" w:fill="auto"/>
                  <w:vAlign w:val="center"/>
                </w:tcPr>
                <w:p w14:paraId="0170049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12.00 </w:t>
                  </w:r>
                </w:p>
              </w:tc>
              <w:tc>
                <w:tcPr>
                  <w:tcW w:w="1030" w:type="dxa"/>
                  <w:shd w:val="clear" w:color="auto" w:fill="auto"/>
                  <w:vAlign w:val="center"/>
                </w:tcPr>
                <w:p w14:paraId="14ABE8E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98.52%</w:t>
                  </w:r>
                </w:p>
              </w:tc>
              <w:tc>
                <w:tcPr>
                  <w:tcW w:w="854" w:type="dxa"/>
                  <w:shd w:val="clear" w:color="auto" w:fill="auto"/>
                  <w:vAlign w:val="center"/>
                </w:tcPr>
                <w:p w14:paraId="266B543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2.03 </w:t>
                  </w:r>
                </w:p>
              </w:tc>
              <w:tc>
                <w:tcPr>
                  <w:tcW w:w="1056" w:type="dxa"/>
                  <w:shd w:val="clear" w:color="auto" w:fill="auto"/>
                  <w:vAlign w:val="center"/>
                </w:tcPr>
                <w:p w14:paraId="4CAACB4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不超过2%</w:t>
                  </w:r>
                </w:p>
              </w:tc>
              <w:tc>
                <w:tcPr>
                  <w:tcW w:w="903" w:type="dxa"/>
                  <w:shd w:val="clear" w:color="auto" w:fill="auto"/>
                  <w:vAlign w:val="center"/>
                </w:tcPr>
                <w:p w14:paraId="0319375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10.00%</w:t>
                  </w:r>
                </w:p>
              </w:tc>
            </w:tr>
            <w:tr w14:paraId="672B57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4" w:hRule="atLeast"/>
              </w:trPr>
              <w:tc>
                <w:tcPr>
                  <w:tcW w:w="1160" w:type="dxa"/>
                  <w:vAlign w:val="center"/>
                </w:tcPr>
                <w:p w14:paraId="698BF088">
                  <w:pPr>
                    <w:widowControl/>
                    <w:spacing w:line="240" w:lineRule="auto"/>
                    <w:ind w:firstLine="0"/>
                    <w:jc w:val="left"/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vertAlign w:val="baseline"/>
                      <w:lang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eastAsia="zh-CN" w:bidi="ar"/>
                    </w:rPr>
                    <w:t>实际值</w:t>
                  </w:r>
                </w:p>
              </w:tc>
              <w:tc>
                <w:tcPr>
                  <w:tcW w:w="1107" w:type="dxa"/>
                  <w:shd w:val="clear" w:color="auto" w:fill="auto"/>
                  <w:vAlign w:val="center"/>
                </w:tcPr>
                <w:p w14:paraId="02AFB8A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3.23 </w:t>
                  </w:r>
                </w:p>
              </w:tc>
              <w:tc>
                <w:tcPr>
                  <w:tcW w:w="1009" w:type="dxa"/>
                  <w:shd w:val="clear" w:color="auto" w:fill="auto"/>
                  <w:vAlign w:val="center"/>
                </w:tcPr>
                <w:p w14:paraId="07A6A90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85.18%</w:t>
                  </w:r>
                </w:p>
              </w:tc>
              <w:tc>
                <w:tcPr>
                  <w:tcW w:w="977" w:type="dxa"/>
                  <w:shd w:val="clear" w:color="auto" w:fill="auto"/>
                  <w:vAlign w:val="center"/>
                </w:tcPr>
                <w:p w14:paraId="23FBDB7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26.59%</w:t>
                  </w:r>
                </w:p>
              </w:tc>
              <w:tc>
                <w:tcPr>
                  <w:tcW w:w="871" w:type="dxa"/>
                  <w:shd w:val="clear" w:color="auto" w:fill="auto"/>
                  <w:vAlign w:val="center"/>
                </w:tcPr>
                <w:p w14:paraId="4E086C7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0.86 </w:t>
                  </w:r>
                </w:p>
              </w:tc>
              <w:tc>
                <w:tcPr>
                  <w:tcW w:w="1030" w:type="dxa"/>
                  <w:shd w:val="clear" w:color="auto" w:fill="auto"/>
                  <w:vAlign w:val="center"/>
                </w:tcPr>
                <w:p w14:paraId="41CE9D1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92.45%</w:t>
                  </w:r>
                </w:p>
              </w:tc>
              <w:tc>
                <w:tcPr>
                  <w:tcW w:w="854" w:type="dxa"/>
                  <w:shd w:val="clear" w:color="auto" w:fill="auto"/>
                  <w:vAlign w:val="center"/>
                </w:tcPr>
                <w:p w14:paraId="27218FA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 xml:space="preserve">1.44 </w:t>
                  </w:r>
                </w:p>
              </w:tc>
              <w:tc>
                <w:tcPr>
                  <w:tcW w:w="1056" w:type="dxa"/>
                  <w:shd w:val="clear" w:color="auto" w:fill="auto"/>
                  <w:vAlign w:val="center"/>
                </w:tcPr>
                <w:p w14:paraId="5575806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2.61%</w:t>
                  </w:r>
                </w:p>
              </w:tc>
              <w:tc>
                <w:tcPr>
                  <w:tcW w:w="903" w:type="dxa"/>
                  <w:shd w:val="clear" w:color="auto" w:fill="auto"/>
                  <w:vAlign w:val="center"/>
                </w:tcPr>
                <w:p w14:paraId="638AFCC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2.04%</w:t>
                  </w:r>
                </w:p>
              </w:tc>
            </w:tr>
            <w:tr w14:paraId="5C28FE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5" w:hRule="atLeast"/>
              </w:trPr>
              <w:tc>
                <w:tcPr>
                  <w:tcW w:w="1160" w:type="dxa"/>
                  <w:vAlign w:val="center"/>
                </w:tcPr>
                <w:p w14:paraId="78D1374D">
                  <w:pPr>
                    <w:widowControl/>
                    <w:spacing w:line="240" w:lineRule="auto"/>
                    <w:ind w:firstLine="0"/>
                    <w:jc w:val="left"/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vertAlign w:val="baseline"/>
                      <w:lang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bidi="ar"/>
                    </w:rPr>
                    <w:t>完成</w:t>
                  </w:r>
                  <w:r>
                    <w:rPr>
                      <w:rFonts w:hint="eastAsia" w:ascii="仿宋" w:hAnsi="仿宋" w:eastAsia="仿宋" w:cs="仿宋"/>
                      <w:b/>
                      <w:bCs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eastAsia="zh-CN" w:bidi="ar"/>
                    </w:rPr>
                    <w:t>进度</w:t>
                  </w:r>
                </w:p>
              </w:tc>
              <w:tc>
                <w:tcPr>
                  <w:tcW w:w="1107" w:type="dxa"/>
                  <w:shd w:val="clear" w:color="auto" w:fill="auto"/>
                  <w:vAlign w:val="center"/>
                </w:tcPr>
                <w:p w14:paraId="1A4297E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21.55%</w:t>
                  </w:r>
                </w:p>
              </w:tc>
              <w:tc>
                <w:tcPr>
                  <w:tcW w:w="1009" w:type="dxa"/>
                  <w:shd w:val="clear" w:color="auto" w:fill="auto"/>
                  <w:vAlign w:val="center"/>
                </w:tcPr>
                <w:p w14:paraId="6FC60CA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106.48%</w:t>
                  </w:r>
                </w:p>
              </w:tc>
              <w:tc>
                <w:tcPr>
                  <w:tcW w:w="977" w:type="dxa"/>
                  <w:shd w:val="clear" w:color="auto" w:fill="auto"/>
                  <w:vAlign w:val="center"/>
                </w:tcPr>
                <w:p w14:paraId="1A88E4B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53.19%</w:t>
                  </w:r>
                </w:p>
              </w:tc>
              <w:tc>
                <w:tcPr>
                  <w:tcW w:w="871" w:type="dxa"/>
                  <w:shd w:val="clear" w:color="auto" w:fill="auto"/>
                  <w:vAlign w:val="center"/>
                </w:tcPr>
                <w:p w14:paraId="31583B4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7.19%</w:t>
                  </w:r>
                </w:p>
              </w:tc>
              <w:tc>
                <w:tcPr>
                  <w:tcW w:w="1030" w:type="dxa"/>
                  <w:shd w:val="clear" w:color="auto" w:fill="auto"/>
                  <w:vAlign w:val="center"/>
                </w:tcPr>
                <w:p w14:paraId="472A64D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93.84%</w:t>
                  </w:r>
                </w:p>
              </w:tc>
              <w:tc>
                <w:tcPr>
                  <w:tcW w:w="854" w:type="dxa"/>
                  <w:shd w:val="clear" w:color="auto" w:fill="auto"/>
                  <w:vAlign w:val="center"/>
                </w:tcPr>
                <w:p w14:paraId="69F4324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70.94%</w:t>
                  </w:r>
                </w:p>
              </w:tc>
              <w:tc>
                <w:tcPr>
                  <w:tcW w:w="1056" w:type="dxa"/>
                  <w:shd w:val="clear" w:color="auto" w:fill="auto"/>
                  <w:vAlign w:val="center"/>
                </w:tcPr>
                <w:p w14:paraId="31C3CC4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未达标</w:t>
                  </w:r>
                </w:p>
              </w:tc>
              <w:tc>
                <w:tcPr>
                  <w:tcW w:w="903" w:type="dxa"/>
                  <w:shd w:val="clear" w:color="auto" w:fill="auto"/>
                  <w:vAlign w:val="center"/>
                </w:tcPr>
                <w:p w14:paraId="59F1C8B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2"/>
                      <w:sz w:val="21"/>
                      <w:szCs w:val="21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0.00%</w:t>
                  </w:r>
                </w:p>
              </w:tc>
            </w:tr>
          </w:tbl>
          <w:p w14:paraId="66DAF232">
            <w:pPr>
              <w:ind w:firstLine="560"/>
              <w:jc w:val="left"/>
              <w:rPr>
                <w:rFonts w:hint="default" w:ascii="仿宋" w:hAnsi="仿宋" w:eastAsia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从曲江担保1-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12月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主要合作政策目标完成进度分析，仅支小支农占比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项指标完成率达标。新增担保业务规模、比例再担保规模未超过时间进度，合作业务代偿率、银担分险业务占比、担保放大倍数、代偿补偿返还率本次报告期内未达标。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主要原因为该公司开展的"惠农e贷"业务受宏观经济下行影响，部分客户出现经营困难，导致风险集中暴露，曲江担保当前以风险化解与资产处置为工作重心，业务拓展能力受到制约。</w:t>
            </w:r>
          </w:p>
        </w:tc>
      </w:tr>
      <w:tr w14:paraId="3510FE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095BDBA3">
            <w:pP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</w:rPr>
              <w:t>三、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val="en-US" w:eastAsia="zh-CN"/>
              </w:rPr>
              <w:t>授信使用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  <w:lang w:eastAsia="zh-CN"/>
              </w:rPr>
              <w:t>及业务开展</w:t>
            </w:r>
          </w:p>
        </w:tc>
      </w:tr>
      <w:tr w14:paraId="5EADF0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4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6DE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  <w:t>本年度我司授予曲江担保再担保业务授信额度2亿元，其中银担非分险业务授信0.16亿元。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截至12月31日，</w:t>
            </w:r>
            <w:r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  <w:t>曲江担保使用再担保业务总授信额度0.83亿元，使用银担非分险业务授信额度0.06亿元，授信使用率分别为41.71%和39.28%。</w:t>
            </w:r>
          </w:p>
          <w:p w14:paraId="32656DFF">
            <w:pPr>
              <w:widowControl/>
              <w:ind w:firstLine="560" w:firstLineChars="200"/>
              <w:jc w:val="left"/>
              <w:rPr>
                <w:rFonts w:hint="default" w:ascii="仿宋" w:hAnsi="仿宋" w:eastAsia="仿宋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截至12月31日</w:t>
            </w:r>
            <w:r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highlight w:val="none"/>
                <w:lang w:val="en-US" w:eastAsia="zh-CN"/>
              </w:rPr>
              <w:t>，曲江担保累计申请代偿补偿项目91笔，获得补偿资金1687.05万元，累计回收金额34.42万元，补偿款返还率2.04%。</w:t>
            </w:r>
          </w:p>
          <w:p w14:paraId="080D0054">
            <w:pPr>
              <w:widowControl/>
              <w:ind w:firstLine="560" w:firstLineChars="200"/>
              <w:jc w:val="left"/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目前，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曲江担保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备案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业务主要分为传统业务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和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val="en-US" w:eastAsia="zh-CN"/>
              </w:rPr>
              <w:t>总对总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</w:rPr>
              <w:t>批量担保业务两大类</w:t>
            </w:r>
            <w:r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  <w:t>，具体产品构成如下表：</w:t>
            </w:r>
          </w:p>
          <w:p w14:paraId="042A3894">
            <w:pPr>
              <w:widowControl/>
              <w:ind w:firstLine="7480" w:firstLineChars="3400"/>
              <w:jc w:val="left"/>
              <w:rPr>
                <w:rFonts w:hint="eastAsia" w:ascii="仿宋" w:hAnsi="仿宋" w:eastAsia="仿宋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2"/>
                <w:highlight w:val="none"/>
              </w:rPr>
              <w:t>单位：</w:t>
            </w:r>
            <w:r>
              <w:rPr>
                <w:rFonts w:hint="eastAsia" w:ascii="仿宋" w:hAnsi="仿宋" w:eastAsia="仿宋" w:cs="仿宋"/>
                <w:kern w:val="0"/>
                <w:sz w:val="22"/>
                <w:highlight w:val="none"/>
                <w:lang w:val="en-US" w:eastAsia="zh-CN"/>
              </w:rPr>
              <w:t>万</w:t>
            </w:r>
            <w:r>
              <w:rPr>
                <w:rFonts w:hint="eastAsia" w:ascii="仿宋" w:hAnsi="仿宋" w:eastAsia="仿宋" w:cs="仿宋"/>
                <w:kern w:val="0"/>
                <w:sz w:val="22"/>
                <w:highlight w:val="none"/>
              </w:rPr>
              <w:t>元</w:t>
            </w:r>
          </w:p>
          <w:tbl>
            <w:tblPr>
              <w:tblStyle w:val="8"/>
              <w:tblW w:w="8719" w:type="dxa"/>
              <w:tblInd w:w="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48"/>
              <w:gridCol w:w="4556"/>
              <w:gridCol w:w="1752"/>
              <w:gridCol w:w="1763"/>
            </w:tblGrid>
            <w:tr w14:paraId="1B6401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5204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auto" w:sz="4" w:space="0"/>
                    <w:right w:val="single" w:color="000000" w:sz="4" w:space="0"/>
                  </w:tcBorders>
                  <w:noWrap/>
                  <w:vAlign w:val="center"/>
                </w:tcPr>
                <w:p w14:paraId="5D2807C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业务分类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8D8063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业务规模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61D41C8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占比</w:t>
                  </w:r>
                </w:p>
              </w:tc>
            </w:tr>
            <w:tr w14:paraId="1E454F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7C4535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2507B56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b/>
                      <w:bCs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总对总批量担保业务</w:t>
                  </w:r>
                  <w:r>
                    <w:rPr>
                      <w:rFonts w:hint="eastAsia" w:ascii="仿宋" w:hAnsi="仿宋" w:eastAsia="仿宋" w:cs="Times New Roman"/>
                      <w:b/>
                      <w:bCs/>
                      <w:color w:val="auto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（国担版和地方版）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0D9F31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6973.90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93720D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83.61%</w:t>
                  </w:r>
                </w:p>
              </w:tc>
            </w:tr>
            <w:tr w14:paraId="62C01E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42E615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4882CF8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其中：国担版银担总对总业务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1FABE8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0.00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3E2F54B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0.00%</w:t>
                  </w:r>
                </w:p>
              </w:tc>
            </w:tr>
            <w:tr w14:paraId="4814DCC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8A9B95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594FD36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 xml:space="preserve">      地方版银担总对总业务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54D4B82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6973.90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20E52F7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83.61%</w:t>
                  </w:r>
                </w:p>
              </w:tc>
            </w:tr>
            <w:tr w14:paraId="01C7EC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6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7BCC44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4556" w:type="dxa"/>
                  <w:tcBorders>
                    <w:top w:val="single" w:color="000000" w:sz="4" w:space="0"/>
                    <w:left w:val="single" w:color="auto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9F4B5DE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eastAsia" w:ascii="仿宋" w:hAnsi="仿宋" w:eastAsia="仿宋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Times New Roman"/>
                      <w:b/>
                      <w:bCs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w:t>传统直保业务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0CE600B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1367.37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1EB53AB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16.39%</w:t>
                  </w:r>
                </w:p>
              </w:tc>
            </w:tr>
            <w:tr w14:paraId="5475BF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0" w:hRule="atLeast"/>
              </w:trPr>
              <w:tc>
                <w:tcPr>
                  <w:tcW w:w="5204" w:type="dxa"/>
                  <w:gridSpan w:val="2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/>
                  <w:vAlign w:val="center"/>
                </w:tcPr>
                <w:p w14:paraId="1B2B8E6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合计</w:t>
                  </w:r>
                </w:p>
              </w:tc>
              <w:tc>
                <w:tcPr>
                  <w:tcW w:w="1752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730747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 xml:space="preserve">8341.27 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7C7A1B1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b w:val="0"/>
                      <w:bCs w:val="0"/>
                      <w:i w:val="0"/>
                      <w:iCs w:val="0"/>
                      <w:color w:val="auto"/>
                      <w:kern w:val="0"/>
                      <w:sz w:val="22"/>
                      <w:szCs w:val="22"/>
                      <w:highlight w:val="none"/>
                      <w:u w:val="none"/>
                      <w:lang w:val="en-US" w:eastAsia="zh-CN" w:bidi="ar"/>
                    </w:rPr>
                    <w:t>100.00%</w:t>
                  </w:r>
                </w:p>
              </w:tc>
            </w:tr>
          </w:tbl>
          <w:p w14:paraId="7520FF1B">
            <w:pPr>
              <w:pStyle w:val="2"/>
              <w:rPr>
                <w:highlight w:val="none"/>
              </w:rPr>
            </w:pPr>
          </w:p>
        </w:tc>
      </w:tr>
      <w:tr w14:paraId="137E0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D7D7D7" w:themeFill="background1" w:themeFillShade="D8"/>
            <w:noWrap/>
            <w:vAlign w:val="center"/>
          </w:tcPr>
          <w:p w14:paraId="04F590EA">
            <w:pP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highlight w:val="none"/>
              </w:rPr>
              <w:t>四、结论</w:t>
            </w:r>
          </w:p>
        </w:tc>
      </w:tr>
      <w:tr w14:paraId="3C2573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09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8B2D0E">
            <w:pPr>
              <w:ind w:firstLine="560" w:firstLineChars="200"/>
              <w:rPr>
                <w:rFonts w:ascii="仿宋_GB2312" w:hAnsi="仿宋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/>
                <w:bCs/>
                <w:sz w:val="28"/>
                <w:szCs w:val="28"/>
                <w:highlight w:val="none"/>
                <w:lang w:eastAsia="zh-CN"/>
              </w:rPr>
              <w:t>曲江担保本次评价期内在多项核心政策目标上未达预期，主要受“惠农e贷”业务风险暴露影响，公司资源向风险化解倾斜，业务拓展能力受限。 其代偿率偏高，风险管控压力较大。建议评定为“关注类”，并重点关注其后续风险处置进展及业务恢复情况。</w:t>
            </w:r>
          </w:p>
        </w:tc>
      </w:tr>
    </w:tbl>
    <w:p w14:paraId="10270363"/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913726"/>
      <w:docPartObj>
        <w:docPartGallery w:val="autotext"/>
      </w:docPartObj>
    </w:sdtPr>
    <w:sdtContent>
      <w:p w14:paraId="4A6BD22E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0D1085C1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WRhNmJkYTE1MDMxMGQ3ZTM5MWViYzM3NTU4NThjNjMifQ=="/>
  </w:docVars>
  <w:rsids>
    <w:rsidRoot w:val="006C6BF7"/>
    <w:rsid w:val="00006066"/>
    <w:rsid w:val="00013FD4"/>
    <w:rsid w:val="00017FA0"/>
    <w:rsid w:val="00021995"/>
    <w:rsid w:val="00023B45"/>
    <w:rsid w:val="00027C2A"/>
    <w:rsid w:val="00045D93"/>
    <w:rsid w:val="00076FBF"/>
    <w:rsid w:val="00082436"/>
    <w:rsid w:val="0008657D"/>
    <w:rsid w:val="00092B26"/>
    <w:rsid w:val="00094934"/>
    <w:rsid w:val="000972A1"/>
    <w:rsid w:val="000978E4"/>
    <w:rsid w:val="000B2B2D"/>
    <w:rsid w:val="000B4A8A"/>
    <w:rsid w:val="000C4310"/>
    <w:rsid w:val="000D031B"/>
    <w:rsid w:val="000D1F9C"/>
    <w:rsid w:val="000D2FF9"/>
    <w:rsid w:val="000F369A"/>
    <w:rsid w:val="000F6562"/>
    <w:rsid w:val="0010024C"/>
    <w:rsid w:val="00106955"/>
    <w:rsid w:val="0011032C"/>
    <w:rsid w:val="00111ED4"/>
    <w:rsid w:val="0013568F"/>
    <w:rsid w:val="00137546"/>
    <w:rsid w:val="00137674"/>
    <w:rsid w:val="00140401"/>
    <w:rsid w:val="00174654"/>
    <w:rsid w:val="00182F96"/>
    <w:rsid w:val="00183E8B"/>
    <w:rsid w:val="001841D4"/>
    <w:rsid w:val="001B0900"/>
    <w:rsid w:val="001B6A34"/>
    <w:rsid w:val="001C2A94"/>
    <w:rsid w:val="001E0E71"/>
    <w:rsid w:val="001E351C"/>
    <w:rsid w:val="001E6943"/>
    <w:rsid w:val="001E771C"/>
    <w:rsid w:val="002076C0"/>
    <w:rsid w:val="00216F46"/>
    <w:rsid w:val="00223AD3"/>
    <w:rsid w:val="00235A28"/>
    <w:rsid w:val="002410F1"/>
    <w:rsid w:val="00253159"/>
    <w:rsid w:val="0025529B"/>
    <w:rsid w:val="00256C29"/>
    <w:rsid w:val="0026557C"/>
    <w:rsid w:val="00267632"/>
    <w:rsid w:val="0027231F"/>
    <w:rsid w:val="002750B7"/>
    <w:rsid w:val="002751B1"/>
    <w:rsid w:val="0029025A"/>
    <w:rsid w:val="00297A52"/>
    <w:rsid w:val="00297B9D"/>
    <w:rsid w:val="002C07FA"/>
    <w:rsid w:val="002C0EB2"/>
    <w:rsid w:val="002C2FB8"/>
    <w:rsid w:val="002E44C8"/>
    <w:rsid w:val="00304FEA"/>
    <w:rsid w:val="003059BC"/>
    <w:rsid w:val="00305F5B"/>
    <w:rsid w:val="00311893"/>
    <w:rsid w:val="00312211"/>
    <w:rsid w:val="003367A0"/>
    <w:rsid w:val="00345A67"/>
    <w:rsid w:val="00345AE4"/>
    <w:rsid w:val="0035087C"/>
    <w:rsid w:val="003530F2"/>
    <w:rsid w:val="00354B5A"/>
    <w:rsid w:val="003627B9"/>
    <w:rsid w:val="00364C2C"/>
    <w:rsid w:val="00386F42"/>
    <w:rsid w:val="00395A1E"/>
    <w:rsid w:val="003C2AF3"/>
    <w:rsid w:val="003D640C"/>
    <w:rsid w:val="003D7999"/>
    <w:rsid w:val="003E1C3B"/>
    <w:rsid w:val="003E43ED"/>
    <w:rsid w:val="003F626F"/>
    <w:rsid w:val="004004E8"/>
    <w:rsid w:val="00410CE7"/>
    <w:rsid w:val="0041110E"/>
    <w:rsid w:val="004115B6"/>
    <w:rsid w:val="00417330"/>
    <w:rsid w:val="00417F74"/>
    <w:rsid w:val="00421D09"/>
    <w:rsid w:val="0043028C"/>
    <w:rsid w:val="00433961"/>
    <w:rsid w:val="004432EC"/>
    <w:rsid w:val="0047723D"/>
    <w:rsid w:val="00477BAE"/>
    <w:rsid w:val="0048206B"/>
    <w:rsid w:val="004A40D3"/>
    <w:rsid w:val="004A6A85"/>
    <w:rsid w:val="004B4E9F"/>
    <w:rsid w:val="004B7958"/>
    <w:rsid w:val="004C6217"/>
    <w:rsid w:val="004C6B41"/>
    <w:rsid w:val="004D40B5"/>
    <w:rsid w:val="004F61FA"/>
    <w:rsid w:val="005231BC"/>
    <w:rsid w:val="00567EC8"/>
    <w:rsid w:val="00572DD5"/>
    <w:rsid w:val="00575D06"/>
    <w:rsid w:val="00580E27"/>
    <w:rsid w:val="00581831"/>
    <w:rsid w:val="00592FE0"/>
    <w:rsid w:val="00596071"/>
    <w:rsid w:val="005A65BD"/>
    <w:rsid w:val="005D4198"/>
    <w:rsid w:val="005E1420"/>
    <w:rsid w:val="005F2B39"/>
    <w:rsid w:val="006231D1"/>
    <w:rsid w:val="00625E0E"/>
    <w:rsid w:val="00630183"/>
    <w:rsid w:val="00642C19"/>
    <w:rsid w:val="00646CD0"/>
    <w:rsid w:val="00647854"/>
    <w:rsid w:val="00654C14"/>
    <w:rsid w:val="00655CAA"/>
    <w:rsid w:val="00665140"/>
    <w:rsid w:val="00666166"/>
    <w:rsid w:val="00670ECD"/>
    <w:rsid w:val="00680C4D"/>
    <w:rsid w:val="006840F6"/>
    <w:rsid w:val="00684E63"/>
    <w:rsid w:val="006C6BF7"/>
    <w:rsid w:val="006D2410"/>
    <w:rsid w:val="006F61D7"/>
    <w:rsid w:val="007051EC"/>
    <w:rsid w:val="007057DA"/>
    <w:rsid w:val="0071440F"/>
    <w:rsid w:val="00717E2E"/>
    <w:rsid w:val="007211FA"/>
    <w:rsid w:val="00725142"/>
    <w:rsid w:val="00744DCF"/>
    <w:rsid w:val="007474C3"/>
    <w:rsid w:val="0075632A"/>
    <w:rsid w:val="0077058D"/>
    <w:rsid w:val="00776C52"/>
    <w:rsid w:val="007831CA"/>
    <w:rsid w:val="007A626C"/>
    <w:rsid w:val="007A758D"/>
    <w:rsid w:val="007A7A77"/>
    <w:rsid w:val="007B3BEC"/>
    <w:rsid w:val="007B6F93"/>
    <w:rsid w:val="007D120D"/>
    <w:rsid w:val="007D6205"/>
    <w:rsid w:val="007E246F"/>
    <w:rsid w:val="007F4FE7"/>
    <w:rsid w:val="007F553E"/>
    <w:rsid w:val="007F5EB2"/>
    <w:rsid w:val="008033AF"/>
    <w:rsid w:val="00805F08"/>
    <w:rsid w:val="00807393"/>
    <w:rsid w:val="008257A3"/>
    <w:rsid w:val="008319F4"/>
    <w:rsid w:val="00835F24"/>
    <w:rsid w:val="00843FC4"/>
    <w:rsid w:val="0084465E"/>
    <w:rsid w:val="00856E7B"/>
    <w:rsid w:val="00877CAA"/>
    <w:rsid w:val="008928E3"/>
    <w:rsid w:val="008A4F25"/>
    <w:rsid w:val="008B4EAF"/>
    <w:rsid w:val="008B6C5D"/>
    <w:rsid w:val="008C1F63"/>
    <w:rsid w:val="008C4037"/>
    <w:rsid w:val="008D500D"/>
    <w:rsid w:val="009025DD"/>
    <w:rsid w:val="00924849"/>
    <w:rsid w:val="00940947"/>
    <w:rsid w:val="0094101C"/>
    <w:rsid w:val="009627D9"/>
    <w:rsid w:val="00967F70"/>
    <w:rsid w:val="009947CE"/>
    <w:rsid w:val="009A41E9"/>
    <w:rsid w:val="009A5A7F"/>
    <w:rsid w:val="009B00C8"/>
    <w:rsid w:val="009C1451"/>
    <w:rsid w:val="009C7199"/>
    <w:rsid w:val="009D2361"/>
    <w:rsid w:val="009D7AF4"/>
    <w:rsid w:val="009E7E9B"/>
    <w:rsid w:val="009F56F0"/>
    <w:rsid w:val="009F5F7B"/>
    <w:rsid w:val="009F7986"/>
    <w:rsid w:val="00A01AC9"/>
    <w:rsid w:val="00A03EB2"/>
    <w:rsid w:val="00A05CFB"/>
    <w:rsid w:val="00A126FE"/>
    <w:rsid w:val="00A20AE4"/>
    <w:rsid w:val="00A24CC5"/>
    <w:rsid w:val="00A43634"/>
    <w:rsid w:val="00A472DA"/>
    <w:rsid w:val="00A50AA2"/>
    <w:rsid w:val="00A53E0F"/>
    <w:rsid w:val="00A61E85"/>
    <w:rsid w:val="00A62D3D"/>
    <w:rsid w:val="00A65D6A"/>
    <w:rsid w:val="00A75C80"/>
    <w:rsid w:val="00A75D35"/>
    <w:rsid w:val="00A81325"/>
    <w:rsid w:val="00A97C55"/>
    <w:rsid w:val="00AA00F0"/>
    <w:rsid w:val="00AA65D8"/>
    <w:rsid w:val="00AB2DAD"/>
    <w:rsid w:val="00AC6E45"/>
    <w:rsid w:val="00AD11F2"/>
    <w:rsid w:val="00AD6AF2"/>
    <w:rsid w:val="00AF7949"/>
    <w:rsid w:val="00B07D50"/>
    <w:rsid w:val="00B105AA"/>
    <w:rsid w:val="00B20E82"/>
    <w:rsid w:val="00B21A95"/>
    <w:rsid w:val="00B22ED2"/>
    <w:rsid w:val="00B23E3A"/>
    <w:rsid w:val="00B25405"/>
    <w:rsid w:val="00B3258C"/>
    <w:rsid w:val="00B55170"/>
    <w:rsid w:val="00B77476"/>
    <w:rsid w:val="00B83898"/>
    <w:rsid w:val="00B90204"/>
    <w:rsid w:val="00B96265"/>
    <w:rsid w:val="00BC4C40"/>
    <w:rsid w:val="00BE499B"/>
    <w:rsid w:val="00C10888"/>
    <w:rsid w:val="00C11F7C"/>
    <w:rsid w:val="00C36500"/>
    <w:rsid w:val="00C372E6"/>
    <w:rsid w:val="00C54EF3"/>
    <w:rsid w:val="00C90CCA"/>
    <w:rsid w:val="00C91CC8"/>
    <w:rsid w:val="00C93967"/>
    <w:rsid w:val="00C944D0"/>
    <w:rsid w:val="00CA2229"/>
    <w:rsid w:val="00CA5606"/>
    <w:rsid w:val="00CA7FED"/>
    <w:rsid w:val="00CB2CA2"/>
    <w:rsid w:val="00CC00F2"/>
    <w:rsid w:val="00CC0EAC"/>
    <w:rsid w:val="00CD15A7"/>
    <w:rsid w:val="00CD1D52"/>
    <w:rsid w:val="00D078DF"/>
    <w:rsid w:val="00D07E83"/>
    <w:rsid w:val="00D14939"/>
    <w:rsid w:val="00D27095"/>
    <w:rsid w:val="00D3392D"/>
    <w:rsid w:val="00D36951"/>
    <w:rsid w:val="00D63EB3"/>
    <w:rsid w:val="00D63FEB"/>
    <w:rsid w:val="00D65938"/>
    <w:rsid w:val="00D717BB"/>
    <w:rsid w:val="00D7489D"/>
    <w:rsid w:val="00D75EFD"/>
    <w:rsid w:val="00D8613E"/>
    <w:rsid w:val="00D90A26"/>
    <w:rsid w:val="00D965BB"/>
    <w:rsid w:val="00DA04D4"/>
    <w:rsid w:val="00DA7DFD"/>
    <w:rsid w:val="00DB3E6F"/>
    <w:rsid w:val="00DC3A08"/>
    <w:rsid w:val="00DC60E8"/>
    <w:rsid w:val="00DC647C"/>
    <w:rsid w:val="00DD2846"/>
    <w:rsid w:val="00DE3909"/>
    <w:rsid w:val="00DE6D1D"/>
    <w:rsid w:val="00DF42A6"/>
    <w:rsid w:val="00DF54EC"/>
    <w:rsid w:val="00DF59EE"/>
    <w:rsid w:val="00DF73E8"/>
    <w:rsid w:val="00E02D8D"/>
    <w:rsid w:val="00E123CE"/>
    <w:rsid w:val="00E13597"/>
    <w:rsid w:val="00E17EB3"/>
    <w:rsid w:val="00E205A4"/>
    <w:rsid w:val="00E20D84"/>
    <w:rsid w:val="00E21C37"/>
    <w:rsid w:val="00E31237"/>
    <w:rsid w:val="00E3463C"/>
    <w:rsid w:val="00E40007"/>
    <w:rsid w:val="00E40DDC"/>
    <w:rsid w:val="00E4407B"/>
    <w:rsid w:val="00E66868"/>
    <w:rsid w:val="00E679BD"/>
    <w:rsid w:val="00E7692F"/>
    <w:rsid w:val="00E85A8B"/>
    <w:rsid w:val="00E938C0"/>
    <w:rsid w:val="00EA4B89"/>
    <w:rsid w:val="00EB0370"/>
    <w:rsid w:val="00EC17F2"/>
    <w:rsid w:val="00EC522A"/>
    <w:rsid w:val="00EC60D1"/>
    <w:rsid w:val="00EC67EC"/>
    <w:rsid w:val="00ED2021"/>
    <w:rsid w:val="00EE1C88"/>
    <w:rsid w:val="00EE66B1"/>
    <w:rsid w:val="00EF0844"/>
    <w:rsid w:val="00EF3C81"/>
    <w:rsid w:val="00EF4726"/>
    <w:rsid w:val="00EF731C"/>
    <w:rsid w:val="00F10555"/>
    <w:rsid w:val="00F43464"/>
    <w:rsid w:val="00F460D8"/>
    <w:rsid w:val="00F51810"/>
    <w:rsid w:val="00F77A6C"/>
    <w:rsid w:val="00F84D85"/>
    <w:rsid w:val="00FB678E"/>
    <w:rsid w:val="00FC73F4"/>
    <w:rsid w:val="00FC7779"/>
    <w:rsid w:val="00FD2A76"/>
    <w:rsid w:val="00FE151C"/>
    <w:rsid w:val="00FE61DF"/>
    <w:rsid w:val="00FF1E18"/>
    <w:rsid w:val="0185519C"/>
    <w:rsid w:val="02ED4364"/>
    <w:rsid w:val="03393105"/>
    <w:rsid w:val="03AE7630"/>
    <w:rsid w:val="04A56FD1"/>
    <w:rsid w:val="04D05CEB"/>
    <w:rsid w:val="05025778"/>
    <w:rsid w:val="0528745D"/>
    <w:rsid w:val="05B178CA"/>
    <w:rsid w:val="07B86435"/>
    <w:rsid w:val="07CD1555"/>
    <w:rsid w:val="07D97D66"/>
    <w:rsid w:val="07E20F3E"/>
    <w:rsid w:val="082576A4"/>
    <w:rsid w:val="09107C0A"/>
    <w:rsid w:val="092246F0"/>
    <w:rsid w:val="09B62AC6"/>
    <w:rsid w:val="0A2B0948"/>
    <w:rsid w:val="0AC664D1"/>
    <w:rsid w:val="0B340C1A"/>
    <w:rsid w:val="0B577E4B"/>
    <w:rsid w:val="0BAE0408"/>
    <w:rsid w:val="0C045577"/>
    <w:rsid w:val="0CBE09BF"/>
    <w:rsid w:val="0CC85BED"/>
    <w:rsid w:val="0CFF716D"/>
    <w:rsid w:val="0E5057A7"/>
    <w:rsid w:val="0E930185"/>
    <w:rsid w:val="0EC43B83"/>
    <w:rsid w:val="0EF820C6"/>
    <w:rsid w:val="0F271D32"/>
    <w:rsid w:val="0F737611"/>
    <w:rsid w:val="0F8446F2"/>
    <w:rsid w:val="0FBC1657"/>
    <w:rsid w:val="0FD302F0"/>
    <w:rsid w:val="11E15093"/>
    <w:rsid w:val="12040E66"/>
    <w:rsid w:val="12DC1FE0"/>
    <w:rsid w:val="14275623"/>
    <w:rsid w:val="142E20E6"/>
    <w:rsid w:val="151D1F79"/>
    <w:rsid w:val="152022B6"/>
    <w:rsid w:val="15E52C78"/>
    <w:rsid w:val="16F838BF"/>
    <w:rsid w:val="177D1B91"/>
    <w:rsid w:val="18462087"/>
    <w:rsid w:val="187A2AED"/>
    <w:rsid w:val="18B03A11"/>
    <w:rsid w:val="192E0CD5"/>
    <w:rsid w:val="19D14694"/>
    <w:rsid w:val="1B157ABC"/>
    <w:rsid w:val="1B5C7426"/>
    <w:rsid w:val="1C116ED1"/>
    <w:rsid w:val="1D8A169B"/>
    <w:rsid w:val="1DDF59F0"/>
    <w:rsid w:val="1DF75C3F"/>
    <w:rsid w:val="1EC75611"/>
    <w:rsid w:val="1F002A35"/>
    <w:rsid w:val="1F6F34F3"/>
    <w:rsid w:val="2011123A"/>
    <w:rsid w:val="20BD3291"/>
    <w:rsid w:val="20D66618"/>
    <w:rsid w:val="20F55CAD"/>
    <w:rsid w:val="21B8263B"/>
    <w:rsid w:val="21C24618"/>
    <w:rsid w:val="21ED3293"/>
    <w:rsid w:val="238312C2"/>
    <w:rsid w:val="238701D6"/>
    <w:rsid w:val="23883354"/>
    <w:rsid w:val="23A75A11"/>
    <w:rsid w:val="23D82079"/>
    <w:rsid w:val="243C7723"/>
    <w:rsid w:val="24F627AC"/>
    <w:rsid w:val="26062835"/>
    <w:rsid w:val="26111718"/>
    <w:rsid w:val="27AB2A53"/>
    <w:rsid w:val="27B47BDC"/>
    <w:rsid w:val="27B8643F"/>
    <w:rsid w:val="297459BB"/>
    <w:rsid w:val="29781F69"/>
    <w:rsid w:val="2A4C33CE"/>
    <w:rsid w:val="2B2A008F"/>
    <w:rsid w:val="2B5C6960"/>
    <w:rsid w:val="2BC144C3"/>
    <w:rsid w:val="2BFC707E"/>
    <w:rsid w:val="2C5B13C8"/>
    <w:rsid w:val="2C90612D"/>
    <w:rsid w:val="2D941873"/>
    <w:rsid w:val="2F07314A"/>
    <w:rsid w:val="2F1D2B78"/>
    <w:rsid w:val="2F9C21A2"/>
    <w:rsid w:val="2FAA514B"/>
    <w:rsid w:val="301028A2"/>
    <w:rsid w:val="305D2290"/>
    <w:rsid w:val="30D51E0F"/>
    <w:rsid w:val="3287538B"/>
    <w:rsid w:val="32B20B24"/>
    <w:rsid w:val="32B83797"/>
    <w:rsid w:val="32FE5B6E"/>
    <w:rsid w:val="32FF5D8A"/>
    <w:rsid w:val="33244163"/>
    <w:rsid w:val="338973EF"/>
    <w:rsid w:val="33A855B9"/>
    <w:rsid w:val="348C7AC7"/>
    <w:rsid w:val="34A00986"/>
    <w:rsid w:val="35972500"/>
    <w:rsid w:val="35977D9C"/>
    <w:rsid w:val="36041FFC"/>
    <w:rsid w:val="36356EAC"/>
    <w:rsid w:val="36C95F72"/>
    <w:rsid w:val="37003D5C"/>
    <w:rsid w:val="380F05CE"/>
    <w:rsid w:val="381F7662"/>
    <w:rsid w:val="38417E00"/>
    <w:rsid w:val="3843612D"/>
    <w:rsid w:val="387D36BE"/>
    <w:rsid w:val="38CB2696"/>
    <w:rsid w:val="39422488"/>
    <w:rsid w:val="39E22CA9"/>
    <w:rsid w:val="3A0862D3"/>
    <w:rsid w:val="3BB91E6E"/>
    <w:rsid w:val="3BDF7FE6"/>
    <w:rsid w:val="3C371BD0"/>
    <w:rsid w:val="3CED228F"/>
    <w:rsid w:val="3D6D4EBC"/>
    <w:rsid w:val="40B96AF8"/>
    <w:rsid w:val="40BA5922"/>
    <w:rsid w:val="40C94DC1"/>
    <w:rsid w:val="414A54B0"/>
    <w:rsid w:val="41687A48"/>
    <w:rsid w:val="418D13E5"/>
    <w:rsid w:val="42552D21"/>
    <w:rsid w:val="435B1320"/>
    <w:rsid w:val="44627E8E"/>
    <w:rsid w:val="452B604A"/>
    <w:rsid w:val="45A13100"/>
    <w:rsid w:val="4690119E"/>
    <w:rsid w:val="46DC45FD"/>
    <w:rsid w:val="480B18E7"/>
    <w:rsid w:val="48402488"/>
    <w:rsid w:val="48851013"/>
    <w:rsid w:val="48897EFD"/>
    <w:rsid w:val="494D2C16"/>
    <w:rsid w:val="499248EA"/>
    <w:rsid w:val="4AEB1EF7"/>
    <w:rsid w:val="4B044C6D"/>
    <w:rsid w:val="4BFC429C"/>
    <w:rsid w:val="4CBB01EB"/>
    <w:rsid w:val="4D84279B"/>
    <w:rsid w:val="4DAD3D1E"/>
    <w:rsid w:val="4E834CC5"/>
    <w:rsid w:val="4E8E7E7D"/>
    <w:rsid w:val="4E921EF1"/>
    <w:rsid w:val="4EF62548"/>
    <w:rsid w:val="50054B72"/>
    <w:rsid w:val="50BA3B99"/>
    <w:rsid w:val="53737419"/>
    <w:rsid w:val="537B635B"/>
    <w:rsid w:val="53AC6A8C"/>
    <w:rsid w:val="53D27687"/>
    <w:rsid w:val="54493B8D"/>
    <w:rsid w:val="551D18FD"/>
    <w:rsid w:val="557E7AFE"/>
    <w:rsid w:val="565458F3"/>
    <w:rsid w:val="57686183"/>
    <w:rsid w:val="58E149FB"/>
    <w:rsid w:val="5A470FDB"/>
    <w:rsid w:val="5A6B2D19"/>
    <w:rsid w:val="5A7C4E87"/>
    <w:rsid w:val="5AC6035D"/>
    <w:rsid w:val="5AF54CD9"/>
    <w:rsid w:val="5B342405"/>
    <w:rsid w:val="5B9A08D9"/>
    <w:rsid w:val="5CA374D8"/>
    <w:rsid w:val="5CDD3C76"/>
    <w:rsid w:val="5D5C4B9B"/>
    <w:rsid w:val="5D9C6876"/>
    <w:rsid w:val="5DD10A46"/>
    <w:rsid w:val="5DEA0E92"/>
    <w:rsid w:val="5E1E0A96"/>
    <w:rsid w:val="5ED43D20"/>
    <w:rsid w:val="5FE24B27"/>
    <w:rsid w:val="5FFB7AAD"/>
    <w:rsid w:val="5FFE0F82"/>
    <w:rsid w:val="600849BF"/>
    <w:rsid w:val="60F77927"/>
    <w:rsid w:val="61446072"/>
    <w:rsid w:val="616D1DF5"/>
    <w:rsid w:val="61D2367E"/>
    <w:rsid w:val="61F47ADB"/>
    <w:rsid w:val="61FB2295"/>
    <w:rsid w:val="621F4953"/>
    <w:rsid w:val="62310C64"/>
    <w:rsid w:val="63237B46"/>
    <w:rsid w:val="63EC7881"/>
    <w:rsid w:val="641D0AFF"/>
    <w:rsid w:val="643A3E45"/>
    <w:rsid w:val="64925D9F"/>
    <w:rsid w:val="64E53217"/>
    <w:rsid w:val="6535248D"/>
    <w:rsid w:val="65DE3621"/>
    <w:rsid w:val="663B22BC"/>
    <w:rsid w:val="66A9257D"/>
    <w:rsid w:val="66C249F7"/>
    <w:rsid w:val="68120D25"/>
    <w:rsid w:val="687539A9"/>
    <w:rsid w:val="692A1FF1"/>
    <w:rsid w:val="6B3259D5"/>
    <w:rsid w:val="6C070576"/>
    <w:rsid w:val="6C964F9D"/>
    <w:rsid w:val="6CC56376"/>
    <w:rsid w:val="6D1A33C5"/>
    <w:rsid w:val="6D703358"/>
    <w:rsid w:val="6DD00650"/>
    <w:rsid w:val="6DDB098D"/>
    <w:rsid w:val="6FC21DAB"/>
    <w:rsid w:val="70A97A87"/>
    <w:rsid w:val="70F84888"/>
    <w:rsid w:val="710C2EFA"/>
    <w:rsid w:val="711155F4"/>
    <w:rsid w:val="715173C6"/>
    <w:rsid w:val="719F230E"/>
    <w:rsid w:val="72C01266"/>
    <w:rsid w:val="730F0E67"/>
    <w:rsid w:val="73157707"/>
    <w:rsid w:val="736D3206"/>
    <w:rsid w:val="73EF6311"/>
    <w:rsid w:val="746C0889"/>
    <w:rsid w:val="74795BDB"/>
    <w:rsid w:val="749F7D37"/>
    <w:rsid w:val="74A662B1"/>
    <w:rsid w:val="74B72A82"/>
    <w:rsid w:val="75576B27"/>
    <w:rsid w:val="75691880"/>
    <w:rsid w:val="756B0323"/>
    <w:rsid w:val="75954C96"/>
    <w:rsid w:val="762C55FB"/>
    <w:rsid w:val="76CC05A1"/>
    <w:rsid w:val="773C7ABF"/>
    <w:rsid w:val="778A57FA"/>
    <w:rsid w:val="77BA7264"/>
    <w:rsid w:val="77C41863"/>
    <w:rsid w:val="7835263F"/>
    <w:rsid w:val="7835751D"/>
    <w:rsid w:val="78746DE5"/>
    <w:rsid w:val="789B121D"/>
    <w:rsid w:val="78F341AE"/>
    <w:rsid w:val="79670EA1"/>
    <w:rsid w:val="7AB7768C"/>
    <w:rsid w:val="7AF9027C"/>
    <w:rsid w:val="7B9308B8"/>
    <w:rsid w:val="7BDD59BA"/>
    <w:rsid w:val="7BFC44A3"/>
    <w:rsid w:val="7C631359"/>
    <w:rsid w:val="7C9751FC"/>
    <w:rsid w:val="7CB7750F"/>
    <w:rsid w:val="7E650B61"/>
    <w:rsid w:val="7EC25C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99"/>
    <w:pPr>
      <w:spacing w:line="500" w:lineRule="exact"/>
      <w:ind w:left="1588" w:leftChars="832" w:firstLine="420" w:firstLineChars="200"/>
    </w:pPr>
  </w:style>
  <w:style w:type="paragraph" w:styleId="3">
    <w:name w:val="Body Text Indent"/>
    <w:basedOn w:val="1"/>
    <w:qFormat/>
    <w:uiPriority w:val="0"/>
    <w:rPr>
      <w:szCs w:val="20"/>
    </w:rPr>
  </w:style>
  <w:style w:type="paragraph" w:styleId="4">
    <w:name w:val="Body Text"/>
    <w:basedOn w:val="1"/>
    <w:next w:val="5"/>
    <w:qFormat/>
    <w:uiPriority w:val="99"/>
    <w:pPr>
      <w:autoSpaceDE w:val="0"/>
      <w:autoSpaceDN w:val="0"/>
      <w:jc w:val="left"/>
    </w:pPr>
    <w:rPr>
      <w:rFonts w:eastAsia="华文仿宋" w:cs="宋体"/>
      <w:kern w:val="0"/>
      <w:sz w:val="28"/>
      <w:szCs w:val="28"/>
      <w:lang w:val="zh-CN"/>
    </w:rPr>
  </w:style>
  <w:style w:type="paragraph" w:styleId="5">
    <w:name w:val="Body Text 2"/>
    <w:basedOn w:val="1"/>
    <w:qFormat/>
    <w:uiPriority w:val="99"/>
    <w:pPr>
      <w:adjustRightInd w:val="0"/>
      <w:snapToGrid w:val="0"/>
      <w:spacing w:line="480" w:lineRule="atLeast"/>
    </w:pPr>
    <w:rPr>
      <w:rFonts w:ascii="宋体" w:hAnsi="宋体"/>
      <w:sz w:val="28"/>
    </w:rPr>
  </w:style>
  <w:style w:type="paragraph" w:styleId="6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Char"/>
    <w:basedOn w:val="10"/>
    <w:link w:val="7"/>
    <w:autoRedefine/>
    <w:qFormat/>
    <w:uiPriority w:val="99"/>
    <w:rPr>
      <w:kern w:val="2"/>
      <w:sz w:val="18"/>
      <w:szCs w:val="18"/>
    </w:rPr>
  </w:style>
  <w:style w:type="character" w:customStyle="1" w:styleId="14">
    <w:name w:val="页脚 Char"/>
    <w:basedOn w:val="10"/>
    <w:link w:val="6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A59DE-4D06-4ECE-914E-FDB0D8F5DD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1038</Words>
  <Characters>1266</Characters>
  <Lines>13</Lines>
  <Paragraphs>3</Paragraphs>
  <TotalTime>3</TotalTime>
  <ScaleCrop>false</ScaleCrop>
  <LinksUpToDate>false</LinksUpToDate>
  <CharactersWithSpaces>1363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2022-04-27T02:23:00Z</dcterms:created>
  <dc:creator>Windows User</dc:creator>
  <cp:lastModifiedBy>徐涛</cp:lastModifiedBy>
  <cp:lastPrinted>2023-09-01T01:29:00Z</cp:lastPrinted>
  <dcterms:modified xsi:type="dcterms:W3CDTF">2026-01-14T08:56:47Z</dcterms:modified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9D871B9651704BE9A2FFF670B3975483</vt:lpwstr>
  </property>
  <property fmtid="{D5CDD505-2E9C-101B-9397-08002B2CF9AE}" pid="4" name="KSOTemplateDocerSaveRecord">
    <vt:lpwstr>eyJoZGlkIjoiZjY3ZjJkZWEwOWFjNzZkZWE0MTU4OGFhNzBjZDRlN2IiLCJ1c2VySWQiOiIxMTQ1MjMzMjUzIn0=</vt:lpwstr>
  </property>
</Properties>
</file>