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002B0">
      <w:pPr>
        <w:jc w:val="distribute"/>
        <w:rPr>
          <w:rFonts w:hint="eastAsia" w:ascii="华文中宋" w:hAnsi="华文中宋" w:eastAsia="华文中宋" w:cs="华文中宋"/>
          <w:b/>
          <w:color w:val="FF0000"/>
          <w:sz w:val="52"/>
          <w:szCs w:val="52"/>
          <w:highlight w:val="none"/>
          <w:lang w:val="en-US" w:eastAsia="zh-CN"/>
        </w:rPr>
      </w:pPr>
      <w:r>
        <w:rPr>
          <w:rFonts w:hint="eastAsia" w:ascii="华文中宋" w:hAnsi="华文中宋" w:eastAsia="华文中宋" w:cs="华文中宋"/>
          <w:b/>
          <w:color w:val="FF0000"/>
          <w:sz w:val="52"/>
          <w:szCs w:val="52"/>
          <w:highlight w:val="none"/>
        </w:rPr>
        <w:t>陕西省政府性融资担保体系</w:t>
      </w:r>
    </w:p>
    <w:p w14:paraId="55EB7852">
      <w:pPr>
        <w:jc w:val="center"/>
        <w:rPr>
          <w:rFonts w:ascii="华文中宋" w:hAnsi="华文中宋" w:eastAsia="华文中宋" w:cs="华文中宋"/>
          <w:b/>
          <w:color w:val="FF0000"/>
          <w:sz w:val="120"/>
          <w:szCs w:val="120"/>
          <w:highlight w:val="none"/>
        </w:rPr>
      </w:pPr>
      <w:r>
        <w:rPr>
          <w:rFonts w:hint="eastAsia" w:ascii="华文中宋" w:hAnsi="华文中宋" w:eastAsia="华文中宋" w:cs="华文中宋"/>
          <w:b/>
          <w:color w:val="FF0000"/>
          <w:sz w:val="120"/>
          <w:szCs w:val="120"/>
          <w:highlight w:val="none"/>
        </w:rPr>
        <w:t>简   报</w:t>
      </w:r>
    </w:p>
    <w:p w14:paraId="52AF57F4">
      <w:pPr>
        <w:jc w:val="center"/>
        <w:rPr>
          <w:rFonts w:ascii="仿宋" w:hAnsi="仿宋" w:eastAsia="仿宋" w:cs="仿宋_GB2312"/>
          <w:sz w:val="32"/>
          <w:szCs w:val="32"/>
          <w:highlight w:val="none"/>
        </w:rPr>
      </w:pPr>
    </w:p>
    <w:p w14:paraId="2466B0E9">
      <w:pPr>
        <w:jc w:val="center"/>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{{meta.issue_number}}（总第{{meta.total_issue}}期）</w:t>
      </w:r>
    </w:p>
    <w:p w14:paraId="11C02A47">
      <w:pPr>
        <w:rPr>
          <w:rFonts w:ascii="仿宋" w:hAnsi="仿宋" w:eastAsia="仿宋" w:cs="仿宋"/>
          <w:sz w:val="32"/>
          <w:szCs w:val="32"/>
          <w:highlight w:val="none"/>
        </w:rPr>
      </w:pPr>
    </w:p>
    <w:p w14:paraId="4558E057">
      <w:pPr>
        <w:rPr>
          <w:rFonts w:hint="eastAsia" w:ascii="仿宋_GB2312" w:hAnsi="仿宋_GB2312" w:eastAsia="仿宋_GB2312" w:cs="仿宋_GB2312"/>
          <w:sz w:val="32"/>
          <w:szCs w:val="32"/>
          <w:highlight w:val="none"/>
        </w:rPr>
      </w:pPr>
      <w:r>
        <w:rPr>
          <w:rFonts w:hint="eastAsia" w:ascii="仿宋_GB2312" w:hAnsi="仿宋_GB2312" w:eastAsia="仿宋_GB2312" w:cs="仿宋_GB2312"/>
          <w:szCs w:val="22"/>
          <w:highlight w:val="none"/>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379730</wp:posOffset>
                </wp:positionV>
                <wp:extent cx="5292090" cy="0"/>
                <wp:effectExtent l="0" t="12700" r="11430" b="17780"/>
                <wp:wrapNone/>
                <wp:docPr id="4" name="直接箭头连接符 4"/>
                <wp:cNvGraphicFramePr/>
                <a:graphic xmlns:a="http://schemas.openxmlformats.org/drawingml/2006/main">
                  <a:graphicData uri="http://schemas.microsoft.com/office/word/2010/wordprocessingShape">
                    <wps:wsp>
                      <wps:cNvCnPr/>
                      <wps:spPr>
                        <a:xfrm>
                          <a:off x="0" y="0"/>
                          <a:ext cx="5292090" cy="0"/>
                        </a:xfrm>
                        <a:prstGeom prst="straightConnector1">
                          <a:avLst/>
                        </a:prstGeom>
                        <a:ln w="25400" cap="flat" cmpd="sng">
                          <a:solidFill>
                            <a:srgbClr val="FF0000"/>
                          </a:solidFill>
                          <a:prstDash val="solid"/>
                          <a:headEnd type="none" w="med" len="med"/>
                          <a:tailEnd type="none" w="med" len="med"/>
                        </a:ln>
                        <a:effectLst/>
                      </wps:spPr>
                      <wps:bodyPr/>
                    </wps:wsp>
                  </a:graphicData>
                </a:graphic>
              </wp:anchor>
            </w:drawing>
          </mc:Choice>
          <mc:Fallback>
            <w:pict>
              <v:shape id="_x0000_s1026" o:spid="_x0000_s1026" o:spt="32" type="#_x0000_t32" style="position:absolute;left:0pt;margin-top:29.9pt;height:0pt;width:416.7pt;mso-position-horizontal:center;mso-position-horizontal-relative:margin;z-index:251659264;mso-width-relative:page;mso-height-relative:page;" filled="f" stroked="t" coordsize="21600,21600" o:gfxdata="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Mo5FrXVAAAABgEAAA8AAAAAAAAAAQAgAAAAIgAAAGRycy9k&#10;b3ducmV2LnhtbFBLAQIUABQAAAAIAIdO4kBYIdZFBQIAAPsDAAAOAAAAAAAAAAEAIAAAACQBAABk&#10;cnMvZTJvRG9jLnhtbFBLBQYAAAAABgAGAFkBAACbBQAAAAA=&#10;">
                <v:fill on="f" focussize="0,0"/>
                <v:stroke weight="2pt" color="#FF0000" joinstyle="round"/>
                <v:imagedata o:title=""/>
                <o:lock v:ext="edit" aspectratio="f"/>
              </v:shape>
            </w:pict>
          </mc:Fallback>
        </mc:AlternateContent>
      </w:r>
      <w:r>
        <w:rPr>
          <w:rFonts w:hint="eastAsia" w:ascii="仿宋_GB2312" w:hAnsi="仿宋_GB2312" w:eastAsia="仿宋_GB2312" w:cs="仿宋_GB2312"/>
          <w:sz w:val="32"/>
          <w:szCs w:val="32"/>
          <w:highlight w:val="none"/>
        </w:rPr>
        <w:t xml:space="preserve">陕西省信用再担保有限责任公司编     </w:t>
      </w:r>
      <w:r>
        <w:rPr>
          <w:rFonts w:ascii="Consolas" w:hAnsi="Consolas" w:eastAsia="Consolas" w:cs="Consolas"/>
          <w:i w:val="0"/>
          <w:iCs w:val="0"/>
          <w:caps w:val="0"/>
          <w:color w:val="393A34"/>
          <w:spacing w:val="0"/>
          <w:sz w:val="15"/>
          <w:szCs w:val="15"/>
        </w:rPr>
        <w:t>{{meta.publish_date}}</w:t>
      </w:r>
    </w:p>
    <w:p w14:paraId="1C356B55">
      <w:pPr>
        <w:rPr>
          <w:rFonts w:ascii="宋体" w:hAnsi="宋体" w:eastAsia="宋体" w:cs="宋体"/>
          <w:b/>
          <w:sz w:val="44"/>
          <w:szCs w:val="44"/>
          <w:highlight w:val="none"/>
        </w:rPr>
      </w:pPr>
    </w:p>
    <w:p w14:paraId="013F1BEF">
      <w:pPr>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2025年上半年再担保业务开展情况通报上半年，省再担保公司牵头全省政府性融资担保体系坚持以习近平新时代中国特色社会主义思想为指导，深入贯彻党的二十大和二十届二中、三中全会及习近平总书记历次来陕考察重要讲话重要指示精神，认真落实中央经济工作会议、省委十四届七次全会暨省委经济工作会议、全省财政工作会议和全省金融系统工作会议要求，牢牢把握高质量发展这个首要任务，坚持“稳中求进、以进促稳”工作总基调，不断完善体系建设，持续优化业务结构，更加突出国家政策导向，不断提升服务效率，努力缓解小微企业和“三农”等普惠领域融资难、融资贵问题，政策性功能作用得到有效发挥。现将有关情况通报如下：</w:t>
      </w:r>
    </w:p>
    <w:p w14:paraId="2C3D6FA5">
      <w:pPr>
        <w:numPr>
          <w:ilvl w:val="0"/>
          <w:numId w:val="1"/>
        </w:numPr>
        <w:ind w:firstLine="640" w:firstLineChars="200"/>
        <w:jc w:val="left"/>
        <w:rPr>
          <w:rFonts w:hint="eastAsia" w:ascii="黑体" w:hAnsi="宋体" w:eastAsia="黑体" w:cs="黑体"/>
          <w:color w:val="auto"/>
          <w:sz w:val="32"/>
          <w:szCs w:val="32"/>
          <w:highlight w:val="none"/>
          <w:lang w:val="en-US" w:eastAsia="zh-CN"/>
        </w:rPr>
      </w:pPr>
      <w:r>
        <w:rPr>
          <w:rFonts w:hint="eastAsia" w:ascii="黑体" w:hAnsi="宋体" w:eastAsia="黑体" w:cs="黑体"/>
          <w:color w:val="auto"/>
          <w:sz w:val="32"/>
          <w:szCs w:val="32"/>
          <w:highlight w:val="none"/>
          <w:lang w:val="en-US" w:eastAsia="zh-CN"/>
        </w:rPr>
        <w:t xml:space="preserve">总体情况 </w:t>
      </w:r>
    </w:p>
    <w:p w14:paraId="7C713930">
      <w:pPr>
        <w:numPr>
          <w:ilvl w:val="0"/>
          <w:numId w:val="0"/>
        </w:numPr>
        <w:ind w:left="160" w:leftChars="0"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上半年，全省政府性融资担保体系新增全口径担保业务规模{{overview.total_guarantee_amount}}亿元，同比增长{{overview.yoy_growth_pct}}%；服务市场主体{{overview.customer_count}}万户，同比增长{{overview.customer_yoy_growth_pct}}%；开展再担保合作业务（含国担银担“总对总”批量担保业务）规模{{overview.re_guarantee_amount}}亿元，同比增长{{overview.re_guarantee_yoy}}%；新增国家融资担保基金合作业务规模{{overview.nfgf_amount}}亿元，同比增长{{overview.nfgf_yoy}}%。截至6月末，体系成员{{overview.member_count}}家，实收资本合计{{overview.total_capital}}亿元，平均担保放大倍数{{overview.leverage_ratio}}倍，同比上升了{{overview.leverage_yoy}}倍。 </w:t>
      </w:r>
    </w:p>
    <w:p w14:paraId="6024E4AA">
      <w:pPr>
        <w:numPr>
          <w:ilvl w:val="0"/>
          <w:numId w:val="2"/>
        </w:numPr>
        <w:ind w:left="160" w:leftChars="0"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不断聚焦主责主业，精准服务实体经济。省再担保公司不断完善合作机制，持续引导合作担保机构聚焦支小支农主体，加大普惠领域支持力度。上半年，体系新增经营性融资担保业务（手工报送的数据）{{focus.operational_amount}}亿元、{{focus.operational_customers}}万户，分别占体系全口径担保业务总规模的{{focus.operational_ratio_amt}}%、{{focus.operational_ratio_cust}}%。体系新增支小支农业务（手工报送数据）规模{{focus.sme_agri_amount}}亿元，占经营性融资担保业务的{{focus.sme_agri_ratio}}%。省再担保公司持续响应国家乡村振兴战略，通过专项产品精准支持国家乡村振兴重点帮扶县业务发展，并鼓励各地结合自身情况开展特色担保业务。上半年，省再担保公司开展“三农”再担保业务{{focus.agri_re_amount}}亿元、{{focus.agri_re_count}}笔。</w:t>
      </w:r>
    </w:p>
    <w:p w14:paraId="767593E1">
      <w:pPr>
        <w:numPr>
          <w:ilvl w:val="0"/>
          <w:numId w:val="2"/>
        </w:numPr>
        <w:ind w:left="160" w:leftChars="0"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深化创新驱动发展，银担合作持续突破。上半年，省再担保公司牵头全省政府性融资担保体系积极强化科技赋能，加快拓展新版国担“总对总”批量担保业务，持续优化业务结构，提高再担保和银行参与分险业务占比。上半年，银行参与分险的再担保规模{{risk_sharing.total_amount}}亿元，同比增长{{risk_sharing.yoy}}%，占再担保总规模的{{risk_sharing.share_ratio}}%，实现了银行参与分险业务快速增长。在银行参与分险业务中，银担“总对总”批量担保业务{{zdz.total_amount}}亿元，占银行参与分险业务总规模的{{zdz.share_ratio}}%，其中国担“总对总”批量担保业务{{zdz.national_amount}}亿元；地方版“总对总”批量担保业务{{zdz.local_amount}}亿元。 </w:t>
      </w:r>
    </w:p>
    <w:p w14:paraId="37C18C24">
      <w:pPr>
        <w:numPr>
          <w:ilvl w:val="0"/>
          <w:numId w:val="2"/>
        </w:numPr>
        <w:ind w:left="160" w:leftChars="0"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持续降低担保费率，有效减轻普惠领域负担。省再担保公司积极争取省财政支持，不断降低再担保收费标准，引导各合作担保机构加大降费让利力度，减轻小微企业等普惠领域负担。上半年，体系支小支农平均担保费率{{cost.avg_guarantee_rate}}%，较上年同期降低了{{cost.rate_reduction}}个百分点，平均担保费率符合“逐步将平均担保费率降至1%以下”（国办发〔2019〕6号）文件的政策要求。参照商业性融资担保机构2.5%的担保费率测算，上半年累计为小微企业和“三农”主体节省担保费超{{cost.saving_amount}}亿元。</w:t>
      </w:r>
    </w:p>
    <w:p w14:paraId="003326FF">
      <w:pPr>
        <w:numPr>
          <w:ilvl w:val="0"/>
          <w:numId w:val="2"/>
        </w:numPr>
        <w:ind w:left="160" w:leftChars="0" w:firstLine="640" w:firstLine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不断发挥逆周期调节作用，精准支持重点领域和薄弱环节。上半年，省再担保公司引导全省政府性融资担保体系认真落实中省及省财政厅工作要求，努力扩大高新技术企业、科技型企业及首贷户业务规模，精准支持重点领域和薄弱环节市场主体解难纾困。上半年新增交通运输、餐饮、住宿、批发零售行业企业及个体工商户担保业务{{industry.service_amount}}亿元、{{industry.service_count}}笔；新增高新技术企业、科技型企业担保贷款{{industry.tech_amount}}亿元、{{industry.tech_count}}笔，其中“科技创新专项担保计划”（根据产品名称进行判断）{{industry.innovation_amount}}亿元、{{industry.innovation_count}}笔；新增创业担保贷款{{industry.entrepreneurship_amount}}亿元、{{industry.entrepreneurship_count}}笔；新增首贷户担保业务{{industry.first_loan_amount}}亿元、{{industry.first_loan_count}}笔，有效助力企业纾困。 </w:t>
      </w:r>
    </w:p>
    <w:p w14:paraId="750F4646">
      <w:pPr>
        <w:numPr>
          <w:ilvl w:val="0"/>
          <w:numId w:val="0"/>
        </w:numPr>
        <w:ind w:left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五）坚持突出就业优先服务导向，引导体系发挥稳就业功能。上半年新增再担保业务稳定市场就业主体（报送的企业人数）约{{employment.total_employment}}万人。从行业分布看，上半年再担保业务主要聚焦于工业、批发业、建筑、零售业和农林牧渔业，合作业务占比{{employment.major_industry_ratio}}%，上述涉及行业稳定就业人数占比{{employment.major_employment_ratio}}%。其中：工业合作业务规模占比和稳就业人数占比均最高，上半年合作业务规模{{employment.industry_amount}}亿元、稳就业人数{{employment.industry_employment}}万人，分别占比{{employment.industry_ratio}}%、{{employment.industry_employment_ratio}}%，笔均稳就业{{employment.avg_per_deal}}人。 </w:t>
      </w:r>
    </w:p>
    <w:p w14:paraId="199266A8">
      <w:pPr>
        <w:numPr>
          <w:ilvl w:val="0"/>
          <w:numId w:val="0"/>
        </w:numPr>
        <w:ind w:leftChars="20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六）始终坚持业务发展与风险控制并进，引导体系可持续发展。省再担保公司坚持业务拓展和风险控制“两手抓”，通过建立风险预警、产品穿透式管理、担保代偿率动态监控、代偿补偿年度稽核审计等机制，引导各机构不断完善内控体系建设，重视风险防控，牢固树立风险防范意识，实现健康持续发展。上半年，省再担保公司为合作担保机构的{{compensation.project_count}}个项目支付代偿补偿资金合计{{compensation.total_compensation}}万元，合作业务担保代偿率{{compensation.default_rate}}%，较上年同期提升了{{compensation.default_rate_increase}}个百分点。自2018年体系构建以来，累计为24家担保机构的2447笔代偿项目拨付再担保代偿补偿资金4.02亿元，及时补充了合作担保机构流动性，有效发挥了再担保增信和分险的作用。</w:t>
      </w:r>
    </w:p>
    <w:p w14:paraId="40A3C826">
      <w:pPr>
        <w:numPr>
          <w:ilvl w:val="0"/>
          <w:numId w:val="1"/>
        </w:numPr>
        <w:ind w:firstLine="640" w:firstLineChars="200"/>
        <w:jc w:val="left"/>
        <w:rPr>
          <w:rFonts w:hint="eastAsia" w:ascii="黑体" w:hAnsi="宋体" w:eastAsia="黑体" w:cs="黑体"/>
          <w:color w:val="auto"/>
          <w:sz w:val="32"/>
          <w:szCs w:val="32"/>
          <w:highlight w:val="none"/>
          <w:lang w:val="en-US" w:eastAsia="zh-CN"/>
        </w:rPr>
      </w:pPr>
      <w:r>
        <w:rPr>
          <w:rFonts w:hint="eastAsia" w:ascii="黑体" w:hAnsi="宋体" w:eastAsia="黑体" w:cs="黑体"/>
          <w:color w:val="auto"/>
          <w:sz w:val="32"/>
          <w:szCs w:val="32"/>
          <w:highlight w:val="none"/>
          <w:lang w:val="en-US" w:eastAsia="zh-CN"/>
        </w:rPr>
        <w:t>体系业务开展情况</w:t>
      </w:r>
    </w:p>
    <w:p w14:paraId="22F21489">
      <w:pPr>
        <w:numPr>
          <w:ilvl w:val="0"/>
          <w:numId w:val="0"/>
        </w:numPr>
        <w:ind w:left="160" w:leftChars="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   各级政府高度重视政府性融资担保体系建设及功能作用发挥，持续完善配套政策，优化绩效考核机制，担保机构不断探索创新业务模式，开展批量担保业务，业务规模实现了稳健增长，体系新增全口径担保业务规模{{overview.total_guarantee_amount}}亿元，同比增长{{overview.yoy_growth_pct}}%。省再担保公司积极发挥省级再担保机构创新引领作用，引导体系担保业务规模稳步发展，其中共{{inst_summary.institutions_over_5b}}家机构业务规模超50亿元。从业务规模增速看，{{inst_summary.positive_growth_count}}家机构较上年同期实现正增长，其中{{inst_summary.growth_over_20_count}}家机构增幅超过20%；{{inst_summary.negative_growth_count}}家机构较上年同期下降。详见表一。</w:t>
      </w:r>
    </w:p>
    <w:p w14:paraId="18F2F41E">
      <w:pPr>
        <w:numPr>
          <w:ilvl w:val="0"/>
          <w:numId w:val="0"/>
        </w:numPr>
        <w:ind w:left="160" w:leftChars="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表一：合作担保机构全口径新增担保业务规模统计表</w:t>
      </w:r>
    </w:p>
    <w:p w14:paraId="18CE6901">
      <w:pPr>
        <w:jc w:val="center"/>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表格                                     </w:t>
      </w:r>
      <w:r>
        <w:rPr>
          <w:rFonts w:hint="eastAsia" w:ascii="仿宋_GB2312" w:hAnsi="仿宋_GB2312" w:eastAsia="仿宋_GB2312" w:cs="仿宋_GB2312"/>
          <w:color w:val="auto"/>
          <w:sz w:val="24"/>
          <w:highlight w:val="none"/>
          <w:lang w:eastAsia="zh-CN"/>
        </w:rPr>
        <w:t>金额单位：万元</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360"/>
        <w:gridCol w:w="1541"/>
        <w:gridCol w:w="1481"/>
        <w:gridCol w:w="1420"/>
        <w:gridCol w:w="1300"/>
      </w:tblGrid>
      <w:tr w14:paraId="5E9AE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00016AE">
            <w:pPr>
              <w:keepNext w:val="0"/>
              <w:keepLines w:val="0"/>
              <w:widowControl/>
              <w:suppressLineNumbers w:val="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序号‌</w:t>
            </w:r>
          </w:p>
        </w:tc>
        <w:tc>
          <w:tcPr>
            <w:tcW w:w="1420" w:type="dxa"/>
            <w:vAlign w:val="center"/>
          </w:tcPr>
          <w:p w14:paraId="5425D304">
            <w:pPr>
              <w:keepNext w:val="0"/>
              <w:keepLines w:val="0"/>
              <w:widowControl/>
              <w:suppressLineNumbers w:val="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‌担保机构简称‌</w:t>
            </w:r>
          </w:p>
        </w:tc>
        <w:tc>
          <w:tcPr>
            <w:tcW w:w="1420" w:type="dxa"/>
            <w:vAlign w:val="center"/>
          </w:tcPr>
          <w:p w14:paraId="08B3132D">
            <w:pPr>
              <w:keepNext w:val="0"/>
              <w:keepLines w:val="0"/>
              <w:widowControl/>
              <w:suppressLineNumbers w:val="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‌实收资本‌</w:t>
            </w:r>
          </w:p>
        </w:tc>
        <w:tc>
          <w:tcPr>
            <w:tcW w:w="1420" w:type="dxa"/>
            <w:vAlign w:val="center"/>
          </w:tcPr>
          <w:p w14:paraId="101D4F49">
            <w:pPr>
              <w:keepNext w:val="0"/>
              <w:keepLines w:val="0"/>
              <w:widowControl/>
              <w:suppressLineNumbers w:val="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‌业务规模‌</w:t>
            </w:r>
          </w:p>
        </w:tc>
        <w:tc>
          <w:tcPr>
            <w:tcW w:w="1421" w:type="dxa"/>
            <w:vAlign w:val="center"/>
          </w:tcPr>
          <w:p w14:paraId="5F4C79B1">
            <w:pPr>
              <w:keepNext w:val="0"/>
              <w:keepLines w:val="0"/>
              <w:widowControl/>
              <w:suppressLineNumbers w:val="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‌规模占比‌</w:t>
            </w:r>
          </w:p>
        </w:tc>
        <w:tc>
          <w:tcPr>
            <w:tcW w:w="1421" w:type="dxa"/>
            <w:vAlign w:val="center"/>
          </w:tcPr>
          <w:p w14:paraId="559CC751">
            <w:pPr>
              <w:keepNext w:val="0"/>
              <w:keepLines w:val="0"/>
              <w:widowControl/>
              <w:suppressLineNumbers w:val="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‌同比增减‌</w:t>
            </w:r>
          </w:p>
        </w:tc>
      </w:tr>
      <w:tr w14:paraId="643F3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3DEE9964">
            <w:pPr>
              <w:keepNext w:val="0"/>
              <w:keepLines w:val="0"/>
              <w:widowControl/>
              <w:suppressLineNumbers w:val="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{{inst_table.index}}</w:t>
            </w:r>
          </w:p>
        </w:tc>
        <w:tc>
          <w:tcPr>
            <w:tcW w:w="1420" w:type="dxa"/>
            <w:vAlign w:val="center"/>
          </w:tcPr>
          <w:p w14:paraId="3F8B5737">
            <w:pPr>
              <w:keepNext w:val="0"/>
              <w:keepLines w:val="0"/>
              <w:widowControl/>
              <w:suppressLineNumbers w:val="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{{inst_table.name}}</w:t>
            </w:r>
          </w:p>
        </w:tc>
        <w:tc>
          <w:tcPr>
            <w:tcW w:w="1420" w:type="dxa"/>
            <w:vAlign w:val="center"/>
          </w:tcPr>
          <w:p w14:paraId="578D9833">
            <w:pPr>
              <w:keepNext w:val="0"/>
              <w:keepLines w:val="0"/>
              <w:widowControl/>
              <w:suppressLineNumbers w:val="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{{inst_table.capital}}</w:t>
            </w:r>
          </w:p>
        </w:tc>
        <w:tc>
          <w:tcPr>
            <w:tcW w:w="1420" w:type="dxa"/>
            <w:vAlign w:val="center"/>
          </w:tcPr>
          <w:p w14:paraId="2C8B305B">
            <w:pPr>
              <w:keepNext w:val="0"/>
              <w:keepLines w:val="0"/>
              <w:widowControl/>
              <w:suppressLineNumbers w:val="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{{inst_table.amount}}</w:t>
            </w:r>
          </w:p>
        </w:tc>
        <w:tc>
          <w:tcPr>
            <w:tcW w:w="1421" w:type="dxa"/>
            <w:vAlign w:val="center"/>
          </w:tcPr>
          <w:p w14:paraId="402C48EE">
            <w:pPr>
              <w:keepNext w:val="0"/>
              <w:keepLines w:val="0"/>
              <w:widowControl/>
              <w:suppressLineNumbers w:val="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{{inst_table.ratio}}</w:t>
            </w:r>
          </w:p>
        </w:tc>
        <w:tc>
          <w:tcPr>
            <w:tcW w:w="1421" w:type="dxa"/>
            <w:vAlign w:val="center"/>
          </w:tcPr>
          <w:p w14:paraId="10B8133B">
            <w:pPr>
              <w:keepNext w:val="0"/>
              <w:keepLines w:val="0"/>
              <w:widowControl/>
              <w:suppressLineNumbers w:val="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{{inst_table.yoy}}</w:t>
            </w:r>
          </w:p>
        </w:tc>
      </w:tr>
    </w:tbl>
    <w:p w14:paraId="3D55AE9E">
      <w:pPr>
        <w:rPr>
          <w:rFonts w:hint="eastAsia" w:ascii="仿宋_GB2312" w:hAnsi="仿宋_GB2312" w:eastAsia="仿宋_GB2312" w:cs="仿宋_GB2312"/>
          <w:color w:val="auto"/>
          <w:szCs w:val="21"/>
          <w:highlight w:val="none"/>
        </w:rPr>
      </w:pPr>
      <w:r>
        <w:rPr>
          <w:rFonts w:hint="eastAsia" w:ascii="仿宋_GB2312" w:hAnsi="仿宋_GB2312" w:eastAsia="仿宋_GB2312" w:cs="仿宋_GB2312"/>
          <w:color w:val="auto"/>
          <w:szCs w:val="21"/>
          <w:highlight w:val="none"/>
        </w:rPr>
        <w:t>备注：1.按各担保机构</w:t>
      </w:r>
      <w:r>
        <w:rPr>
          <w:rFonts w:hint="eastAsia" w:ascii="仿宋_GB2312" w:hAnsi="仿宋_GB2312" w:eastAsia="仿宋_GB2312" w:cs="仿宋_GB2312"/>
          <w:color w:val="auto"/>
          <w:szCs w:val="21"/>
          <w:highlight w:val="none"/>
          <w:lang w:eastAsia="zh-CN"/>
        </w:rPr>
        <w:t>2024年</w:t>
      </w:r>
      <w:r>
        <w:rPr>
          <w:rFonts w:hint="eastAsia" w:ascii="仿宋_GB2312" w:hAnsi="仿宋_GB2312" w:eastAsia="仿宋_GB2312" w:cs="仿宋_GB2312"/>
          <w:color w:val="auto"/>
          <w:szCs w:val="21"/>
          <w:highlight w:val="none"/>
        </w:rPr>
        <w:t>新增业务规模降序排列</w:t>
      </w:r>
    </w:p>
    <w:p w14:paraId="5786FB1F">
      <w:pPr>
        <w:ind w:firstLine="630" w:firstLineChars="300"/>
        <w:rPr>
          <w:rFonts w:hint="eastAsia" w:ascii="仿宋_GB2312" w:hAnsi="仿宋_GB2312" w:eastAsia="仿宋_GB2312" w:cs="仿宋_GB2312"/>
          <w:color w:val="auto"/>
          <w:szCs w:val="21"/>
          <w:highlight w:val="none"/>
        </w:rPr>
      </w:pPr>
      <w:r>
        <w:rPr>
          <w:rFonts w:hint="eastAsia" w:ascii="仿宋_GB2312" w:hAnsi="仿宋_GB2312" w:eastAsia="仿宋_GB2312" w:cs="仿宋_GB2312"/>
          <w:color w:val="auto"/>
          <w:szCs w:val="21"/>
          <w:highlight w:val="none"/>
        </w:rPr>
        <w:t>2.规模占比=各合作担保机构新增业务规模/体系新增业务总规模*100%</w:t>
      </w:r>
    </w:p>
    <w:p w14:paraId="77B2F106">
      <w:pPr>
        <w:rPr>
          <w:rFonts w:hint="eastAsia" w:ascii="仿宋_GB2312" w:hAnsi="仿宋_GB2312" w:eastAsia="仿宋_GB2312" w:cs="仿宋_GB2312"/>
          <w:color w:val="auto"/>
          <w:szCs w:val="21"/>
          <w:highlight w:val="none"/>
        </w:rPr>
      </w:pPr>
      <w:r>
        <w:rPr>
          <w:rFonts w:hint="eastAsia" w:ascii="仿宋_GB2312" w:hAnsi="仿宋_GB2312" w:eastAsia="仿宋_GB2312" w:cs="仿宋_GB2312"/>
          <w:color w:val="auto"/>
          <w:szCs w:val="21"/>
          <w:highlight w:val="none"/>
        </w:rPr>
        <w:t xml:space="preserve">      3.表内“-”代表无同期比较数据，下同</w:t>
      </w:r>
    </w:p>
    <w:p w14:paraId="137DE83D">
      <w:pPr>
        <w:rPr>
          <w:rFonts w:hint="eastAsia" w:ascii="仿宋_GB2312" w:hAnsi="仿宋_GB2312" w:eastAsia="仿宋_GB2312" w:cs="仿宋_GB2312"/>
          <w:color w:val="auto"/>
          <w:szCs w:val="21"/>
          <w:highlight w:val="none"/>
        </w:rPr>
      </w:pPr>
    </w:p>
    <w:p w14:paraId="1DF6C183">
      <w:pPr>
        <w:rPr>
          <w:rFonts w:hint="eastAsia" w:ascii="仿宋_GB2312" w:hAnsi="仿宋_GB2312" w:eastAsia="仿宋_GB2312" w:cs="仿宋_GB2312"/>
          <w:color w:val="auto"/>
          <w:szCs w:val="21"/>
          <w:highlight w:val="none"/>
        </w:rPr>
      </w:pPr>
    </w:p>
    <w:p w14:paraId="69A731BD">
      <w:pPr>
        <w:numPr>
          <w:ilvl w:val="0"/>
          <w:numId w:val="1"/>
        </w:numPr>
        <w:ind w:firstLine="640" w:firstLineChars="200"/>
        <w:jc w:val="left"/>
        <w:rPr>
          <w:rFonts w:hint="eastAsia" w:ascii="黑体" w:hAnsi="宋体" w:eastAsia="黑体" w:cs="黑体"/>
          <w:color w:val="auto"/>
          <w:sz w:val="32"/>
          <w:szCs w:val="32"/>
          <w:highlight w:val="none"/>
        </w:rPr>
      </w:pPr>
      <w:r>
        <w:rPr>
          <w:rFonts w:hint="eastAsia" w:ascii="黑体" w:hAnsi="宋体" w:eastAsia="黑体" w:cs="黑体"/>
          <w:color w:val="auto"/>
          <w:sz w:val="32"/>
          <w:szCs w:val="32"/>
          <w:highlight w:val="none"/>
        </w:rPr>
        <w:t>再担保业务开展情况</w:t>
      </w:r>
    </w:p>
    <w:p w14:paraId="637CC292">
      <w:pPr>
        <w:numPr>
          <w:ilvl w:val="0"/>
          <w:numId w:val="3"/>
        </w:numPr>
        <w:ind w:firstLine="640" w:firstLineChars="200"/>
        <w:rPr>
          <w:rFonts w:hint="eastAsia" w:ascii="楷体" w:hAnsi="楷体" w:eastAsia="楷体" w:cs="楷体"/>
          <w:bCs/>
          <w:color w:val="auto"/>
          <w:sz w:val="32"/>
          <w:szCs w:val="32"/>
          <w:highlight w:val="none"/>
        </w:rPr>
      </w:pPr>
      <w:r>
        <w:rPr>
          <w:rFonts w:hint="eastAsia" w:ascii="楷体" w:hAnsi="楷体" w:eastAsia="楷体" w:cs="楷体"/>
          <w:bCs/>
          <w:color w:val="auto"/>
          <w:sz w:val="32"/>
          <w:szCs w:val="32"/>
          <w:highlight w:val="none"/>
        </w:rPr>
        <w:t>业务总体运行情况。</w:t>
      </w:r>
    </w:p>
    <w:p w14:paraId="6215BC00">
      <w:pPr>
        <w:numPr>
          <w:ilvl w:val="0"/>
          <w:numId w:val="0"/>
        </w:numPr>
        <w:ind w:firstLine="960" w:firstLineChars="3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上半年，省再担保公司新增再担保业务规模{{overview.re_guarantee_amount}}亿元，同比增长{{overview.re_guarantee_yoy}}%，户均担保额为{{re_guarantee_summary.avg_per_customer}}万元。从业务开展情况看，{{re_guarantee_summary.high_filing_count}}家机构再担保备案率超过了90%，{{re_guarantee_summary.mid_filing_count}}家机构超过了50%，较好地发挥了财政担保政策功能作用。详见表二</w:t>
      </w:r>
      <w:r>
        <w:rPr>
          <w:rFonts w:hint="eastAsia" w:ascii="仿宋_GB2312" w:hAnsi="仿宋_GB2312" w:eastAsia="仿宋_GB2312" w:cs="仿宋_GB2312"/>
          <w:color w:val="auto"/>
          <w:sz w:val="32"/>
          <w:szCs w:val="32"/>
          <w:highlight w:val="none"/>
          <w:lang w:val="en-US" w:eastAsia="zh-CN"/>
        </w:rPr>
        <w:t>。</w:t>
      </w:r>
    </w:p>
    <w:p w14:paraId="681171E9">
      <w:pPr>
        <w:rPr>
          <w:rFonts w:hint="eastAsia" w:ascii="仿宋_GB2312" w:hAnsi="仿宋_GB2312" w:eastAsia="仿宋_GB2312" w:cs="仿宋_GB2312"/>
          <w:color w:val="auto"/>
          <w:szCs w:val="21"/>
          <w:highlight w:val="none"/>
        </w:rPr>
      </w:pPr>
    </w:p>
    <w:p w14:paraId="067B410A">
      <w:pPr>
        <w:numPr>
          <w:ilvl w:val="0"/>
          <w:numId w:val="0"/>
        </w:numPr>
        <w:ind w:left="160" w:leftChars="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表二：担保机构再担保业务统计表</w:t>
      </w:r>
    </w:p>
    <w:p w14:paraId="39A01B2E">
      <w:pPr>
        <w:jc w:val="center"/>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24"/>
          <w:highlight w:val="none"/>
          <w:lang w:eastAsia="zh-CN"/>
        </w:rPr>
        <w:t>金额单位：万元</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7"/>
        <w:gridCol w:w="1682"/>
        <w:gridCol w:w="2443"/>
        <w:gridCol w:w="2660"/>
      </w:tblGrid>
      <w:tr w14:paraId="67A13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21D8236">
            <w:pPr>
              <w:keepNext w:val="0"/>
              <w:keepLines w:val="0"/>
              <w:widowControl/>
              <w:suppressLineNumbers w:val="0"/>
              <w:jc w:val="center"/>
              <w:rPr>
                <w:rFonts w:hint="eastAsia"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序号</w:t>
            </w:r>
          </w:p>
        </w:tc>
        <w:tc>
          <w:tcPr>
            <w:tcW w:w="2130" w:type="dxa"/>
            <w:vAlign w:val="center"/>
          </w:tcPr>
          <w:p w14:paraId="65C9C1B2">
            <w:pPr>
              <w:keepNext w:val="0"/>
              <w:keepLines w:val="0"/>
              <w:widowControl/>
              <w:suppressLineNumbers w:val="0"/>
              <w:jc w:val="center"/>
              <w:rPr>
                <w:rFonts w:hint="eastAsia"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担保机构简称</w:t>
            </w:r>
          </w:p>
        </w:tc>
        <w:tc>
          <w:tcPr>
            <w:tcW w:w="2131" w:type="dxa"/>
            <w:vAlign w:val="center"/>
          </w:tcPr>
          <w:p w14:paraId="69AF5595">
            <w:pPr>
              <w:keepNext w:val="0"/>
              <w:keepLines w:val="0"/>
              <w:widowControl/>
              <w:suppressLineNumbers w:val="0"/>
              <w:jc w:val="center"/>
              <w:rPr>
                <w:rFonts w:hint="eastAsia"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业务规模</w:t>
            </w:r>
          </w:p>
        </w:tc>
        <w:tc>
          <w:tcPr>
            <w:tcW w:w="2131" w:type="dxa"/>
            <w:vAlign w:val="center"/>
          </w:tcPr>
          <w:p w14:paraId="06718570">
            <w:pPr>
              <w:keepNext w:val="0"/>
              <w:keepLines w:val="0"/>
              <w:widowControl/>
              <w:suppressLineNumbers w:val="0"/>
              <w:jc w:val="center"/>
              <w:rPr>
                <w:rFonts w:hint="eastAsia" w:ascii="宋体" w:hAnsi="宋体" w:eastAsia="宋体" w:cs="宋体"/>
                <w:kern w:val="0"/>
                <w:sz w:val="24"/>
                <w:szCs w:val="24"/>
                <w:lang w:val="en-US" w:eastAsia="zh-CN" w:bidi="ar"/>
              </w:rPr>
            </w:pPr>
            <w:r>
              <w:rPr>
                <w:rFonts w:ascii="宋体" w:hAnsi="宋体" w:eastAsia="宋体" w:cs="宋体"/>
                <w:b/>
                <w:bCs/>
                <w:kern w:val="0"/>
                <w:sz w:val="24"/>
                <w:szCs w:val="24"/>
                <w:lang w:val="en-US" w:eastAsia="zh-CN" w:bidi="ar"/>
              </w:rPr>
              <w:t>再担保备案率</w:t>
            </w:r>
          </w:p>
        </w:tc>
      </w:tr>
      <w:tr w14:paraId="40AE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4BFB1B6">
            <w:pPr>
              <w:keepNext w:val="0"/>
              <w:keepLines w:val="0"/>
              <w:widowControl/>
              <w:suppressLineNumbers w:val="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{{re_guarantee_table.index}}</w:t>
            </w:r>
          </w:p>
        </w:tc>
        <w:tc>
          <w:tcPr>
            <w:tcW w:w="2130" w:type="dxa"/>
            <w:vAlign w:val="center"/>
          </w:tcPr>
          <w:p w14:paraId="054C9936">
            <w:pPr>
              <w:keepNext w:val="0"/>
              <w:keepLines w:val="0"/>
              <w:widowControl/>
              <w:suppressLineNumbers w:val="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{{re_guarantee_table.name}}</w:t>
            </w:r>
          </w:p>
        </w:tc>
        <w:tc>
          <w:tcPr>
            <w:tcW w:w="2131" w:type="dxa"/>
            <w:vAlign w:val="center"/>
          </w:tcPr>
          <w:p w14:paraId="75F7AC69">
            <w:pPr>
              <w:keepNext w:val="0"/>
              <w:keepLines w:val="0"/>
              <w:widowControl/>
              <w:suppressLineNumbers w:val="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{{re_guarantee_table.amount}}</w:t>
            </w:r>
          </w:p>
        </w:tc>
        <w:tc>
          <w:tcPr>
            <w:tcW w:w="2131" w:type="dxa"/>
            <w:vAlign w:val="center"/>
          </w:tcPr>
          <w:p w14:paraId="74EBAB5C">
            <w:pPr>
              <w:keepNext w:val="0"/>
              <w:keepLines w:val="0"/>
              <w:widowControl/>
              <w:suppressLineNumbers w:val="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{{re_guarantee_table.filing_rate}}%</w:t>
            </w:r>
          </w:p>
        </w:tc>
      </w:tr>
      <w:tr w14:paraId="42444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515F69C">
            <w:pPr>
              <w:keepNext w:val="0"/>
              <w:keepLines w:val="0"/>
              <w:widowControl/>
              <w:suppressLineNumbers w:val="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合计</w:t>
            </w:r>
          </w:p>
        </w:tc>
        <w:tc>
          <w:tcPr>
            <w:tcW w:w="2130" w:type="dxa"/>
            <w:vAlign w:val="center"/>
          </w:tcPr>
          <w:p w14:paraId="50E78ADE">
            <w:pPr>
              <w:rPr>
                <w:rFonts w:hint="eastAsia" w:ascii="宋体" w:hAnsi="宋体" w:eastAsia="宋体" w:cs="宋体"/>
                <w:kern w:val="0"/>
                <w:sz w:val="24"/>
                <w:szCs w:val="24"/>
                <w:lang w:val="en-US" w:eastAsia="zh-CN" w:bidi="ar"/>
              </w:rPr>
            </w:pPr>
          </w:p>
        </w:tc>
        <w:tc>
          <w:tcPr>
            <w:tcW w:w="2131" w:type="dxa"/>
            <w:vAlign w:val="center"/>
          </w:tcPr>
          <w:p w14:paraId="2B73A98E">
            <w:pPr>
              <w:keepNext w:val="0"/>
              <w:keepLines w:val="0"/>
              <w:widowControl/>
              <w:suppressLineNumbers w:val="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{{re_guarantee_table_total.total_amount}}</w:t>
            </w:r>
          </w:p>
        </w:tc>
        <w:tc>
          <w:tcPr>
            <w:tcW w:w="2131" w:type="dxa"/>
            <w:vAlign w:val="center"/>
          </w:tcPr>
          <w:p w14:paraId="5067CD1F">
            <w:pPr>
              <w:keepNext w:val="0"/>
              <w:keepLines w:val="0"/>
              <w:widowControl/>
              <w:suppressLineNumbers w:val="0"/>
              <w:jc w:val="left"/>
              <w:rPr>
                <w:rFonts w:hint="eastAsia"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{{re_guarantee_table_total.avg_filing_rate}}%</w:t>
            </w:r>
          </w:p>
        </w:tc>
      </w:tr>
    </w:tbl>
    <w:p w14:paraId="76B4624B">
      <w:pPr>
        <w:rPr>
          <w:rFonts w:hint="eastAsia" w:ascii="仿宋_GB2312" w:hAnsi="仿宋_GB2312" w:eastAsia="仿宋_GB2312" w:cs="仿宋_GB2312"/>
          <w:color w:val="auto"/>
          <w:kern w:val="0"/>
          <w:szCs w:val="21"/>
          <w:highlight w:val="none"/>
        </w:rPr>
      </w:pPr>
      <w:r>
        <w:rPr>
          <w:rFonts w:hint="eastAsia" w:ascii="仿宋_GB2312" w:hAnsi="仿宋_GB2312" w:eastAsia="仿宋_GB2312" w:cs="仿宋_GB2312"/>
          <w:color w:val="auto"/>
          <w:szCs w:val="21"/>
          <w:highlight w:val="none"/>
        </w:rPr>
        <w:t>备注：1.合作担保机构</w:t>
      </w:r>
      <w:r>
        <w:rPr>
          <w:rFonts w:hint="eastAsia" w:ascii="仿宋_GB2312" w:hAnsi="仿宋_GB2312" w:eastAsia="仿宋_GB2312" w:cs="仿宋_GB2312"/>
          <w:color w:val="auto"/>
          <w:kern w:val="0"/>
          <w:szCs w:val="21"/>
          <w:highlight w:val="none"/>
        </w:rPr>
        <w:t>按</w:t>
      </w:r>
      <w:r>
        <w:rPr>
          <w:rFonts w:hint="eastAsia" w:ascii="仿宋_GB2312" w:hAnsi="仿宋_GB2312" w:eastAsia="仿宋_GB2312" w:cs="仿宋_GB2312"/>
          <w:color w:val="auto"/>
          <w:kern w:val="0"/>
          <w:szCs w:val="21"/>
          <w:highlight w:val="none"/>
          <w:lang w:eastAsia="zh-CN"/>
        </w:rPr>
        <w:t>上半年</w:t>
      </w:r>
      <w:r>
        <w:rPr>
          <w:rFonts w:hint="eastAsia" w:ascii="仿宋_GB2312" w:hAnsi="仿宋_GB2312" w:eastAsia="仿宋_GB2312" w:cs="仿宋_GB2312"/>
          <w:color w:val="auto"/>
          <w:kern w:val="0"/>
          <w:szCs w:val="21"/>
          <w:highlight w:val="none"/>
        </w:rPr>
        <w:t>合作业务规模降序排列</w:t>
      </w:r>
    </w:p>
    <w:p w14:paraId="75A9B726">
      <w:pPr>
        <w:ind w:firstLine="630" w:firstLineChars="300"/>
        <w:rPr>
          <w:rFonts w:hint="eastAsia" w:ascii="仿宋_GB2312" w:hAnsi="仿宋_GB2312" w:eastAsia="仿宋_GB2312" w:cs="仿宋_GB2312"/>
          <w:color w:val="auto"/>
          <w:szCs w:val="21"/>
          <w:highlight w:val="none"/>
        </w:rPr>
      </w:pPr>
      <w:r>
        <w:rPr>
          <w:rFonts w:hint="eastAsia" w:ascii="仿宋_GB2312" w:hAnsi="仿宋_GB2312" w:eastAsia="仿宋_GB2312" w:cs="仿宋_GB2312"/>
          <w:color w:val="auto"/>
          <w:szCs w:val="21"/>
          <w:highlight w:val="none"/>
        </w:rPr>
        <w:t>2.再担保备案率=单个担保机构再担保业务规模/全部担保业务规模*100%</w:t>
      </w:r>
    </w:p>
    <w:p w14:paraId="724B6879">
      <w:pPr>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楷体" w:hAnsi="楷体" w:eastAsia="楷体" w:cs="楷体"/>
          <w:bCs/>
          <w:color w:val="auto"/>
          <w:sz w:val="32"/>
          <w:szCs w:val="32"/>
          <w:highlight w:val="none"/>
          <w:lang w:eastAsia="zh-CN"/>
        </w:rPr>
        <w:t>（</w:t>
      </w:r>
      <w:r>
        <w:rPr>
          <w:rFonts w:hint="eastAsia" w:ascii="楷体" w:hAnsi="楷体" w:eastAsia="楷体" w:cs="楷体"/>
          <w:bCs/>
          <w:color w:val="auto"/>
          <w:sz w:val="32"/>
          <w:szCs w:val="32"/>
          <w:highlight w:val="none"/>
          <w:lang w:val="en-US" w:eastAsia="zh-CN"/>
        </w:rPr>
        <w:t>二</w:t>
      </w:r>
      <w:r>
        <w:rPr>
          <w:rFonts w:hint="eastAsia" w:ascii="楷体" w:hAnsi="楷体" w:eastAsia="楷体" w:cs="楷体"/>
          <w:bCs/>
          <w:color w:val="auto"/>
          <w:sz w:val="32"/>
          <w:szCs w:val="32"/>
          <w:highlight w:val="none"/>
          <w:lang w:eastAsia="zh-CN"/>
        </w:rPr>
        <w:t>）</w:t>
      </w:r>
      <w:r>
        <w:rPr>
          <w:rFonts w:hint="eastAsia" w:ascii="楷体" w:hAnsi="楷体" w:eastAsia="楷体" w:cs="楷体"/>
          <w:bCs/>
          <w:color w:val="auto"/>
          <w:sz w:val="32"/>
          <w:szCs w:val="32"/>
          <w:highlight w:val="none"/>
          <w:lang w:val="en-US" w:eastAsia="zh-CN"/>
        </w:rPr>
        <w:t>银行合作情况</w:t>
      </w:r>
      <w:r>
        <w:rPr>
          <w:rFonts w:hint="eastAsia" w:ascii="仿宋" w:hAnsi="仿宋" w:eastAsia="仿宋" w:cs="仿宋_GB2312"/>
          <w:color w:val="auto"/>
          <w:sz w:val="32"/>
          <w:szCs w:val="32"/>
          <w:highlight w:val="none"/>
          <w:lang w:val="en-US" w:eastAsia="zh-CN"/>
        </w:rPr>
        <w:t>。上半年，我省政府性融资担保体系与全国性银行、地方法人银行合作开展政策性融资担保业务规模分别为{{bank_cooperation.national_amount}}亿元、{{bank_cooperation.local_amount}}亿元，规模占比分别为{{bank_cooperation.national_ratio}}%和{{bank_cooperation.local_ratio}}%。和上年同期相比，全国性银行合作业务占比上升了{{bank_cooperation.national_ratio_increase}}个百分点</w:t>
      </w:r>
      <w:r>
        <w:rPr>
          <w:rFonts w:hint="eastAsia" w:ascii="仿宋_GB2312" w:hAnsi="仿宋_GB2312" w:eastAsia="仿宋_GB2312" w:cs="仿宋_GB2312"/>
          <w:color w:val="auto"/>
          <w:sz w:val="32"/>
          <w:szCs w:val="32"/>
          <w:highlight w:val="none"/>
        </w:rPr>
        <w:t>。详见表</w:t>
      </w:r>
      <w:r>
        <w:rPr>
          <w:rFonts w:hint="eastAsia" w:ascii="仿宋_GB2312" w:hAnsi="仿宋_GB2312" w:eastAsia="仿宋_GB2312" w:cs="仿宋_GB2312"/>
          <w:color w:val="auto"/>
          <w:sz w:val="32"/>
          <w:szCs w:val="32"/>
          <w:highlight w:val="none"/>
          <w:lang w:val="en-US" w:eastAsia="zh-CN"/>
        </w:rPr>
        <w:t>三</w:t>
      </w:r>
      <w:r>
        <w:rPr>
          <w:rFonts w:hint="eastAsia" w:ascii="仿宋_GB2312" w:hAnsi="仿宋_GB2312" w:eastAsia="仿宋_GB2312" w:cs="仿宋_GB2312"/>
          <w:color w:val="auto"/>
          <w:sz w:val="32"/>
          <w:szCs w:val="32"/>
          <w:highlight w:val="none"/>
        </w:rPr>
        <w:t>。</w:t>
      </w:r>
    </w:p>
    <w:p w14:paraId="78A91910">
      <w:pPr>
        <w:numPr>
          <w:ilvl w:val="0"/>
          <w:numId w:val="0"/>
        </w:numPr>
        <w:ind w:left="160" w:leftChars="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表三：合作银行业务统计表</w:t>
      </w:r>
    </w:p>
    <w:p w14:paraId="6DE3E3FD">
      <w:pPr>
        <w:numPr>
          <w:ilvl w:val="0"/>
          <w:numId w:val="0"/>
        </w:numPr>
        <w:ind w:left="160" w:leftChars="0"/>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表格                                   </w:t>
      </w:r>
      <w:r>
        <w:rPr>
          <w:rFonts w:hint="eastAsia" w:ascii="仿宋_GB2312" w:hAnsi="仿宋_GB2312" w:eastAsia="仿宋_GB2312" w:cs="仿宋_GB2312"/>
          <w:color w:val="auto"/>
          <w:sz w:val="24"/>
          <w:highlight w:val="none"/>
          <w:lang w:eastAsia="zh-CN"/>
        </w:rPr>
        <w:t>金额单位：万元</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8"/>
        <w:gridCol w:w="1878"/>
        <w:gridCol w:w="2353"/>
        <w:gridCol w:w="2353"/>
      </w:tblGrid>
      <w:tr w14:paraId="2E3ED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00D4FE6">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序号</w:t>
            </w:r>
          </w:p>
        </w:tc>
        <w:tc>
          <w:tcPr>
            <w:tcW w:w="2130" w:type="dxa"/>
            <w:vAlign w:val="center"/>
          </w:tcPr>
          <w:p w14:paraId="40C45386">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合作银行简称</w:t>
            </w:r>
          </w:p>
        </w:tc>
        <w:tc>
          <w:tcPr>
            <w:tcW w:w="2131" w:type="dxa"/>
            <w:vAlign w:val="center"/>
          </w:tcPr>
          <w:p w14:paraId="07728132">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合作业务规模（万元）</w:t>
            </w:r>
          </w:p>
        </w:tc>
        <w:tc>
          <w:tcPr>
            <w:tcW w:w="2131" w:type="dxa"/>
            <w:vAlign w:val="center"/>
          </w:tcPr>
          <w:p w14:paraId="293A6CFD">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规模占比（%）</w:t>
            </w:r>
          </w:p>
        </w:tc>
      </w:tr>
      <w:tr w14:paraId="0BF8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C6DE5F2">
            <w:pPr>
              <w:keepNext w:val="0"/>
              <w:keepLines w:val="0"/>
              <w:widowControl/>
              <w:suppressLineNumbers w:val="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（一）</w:t>
            </w:r>
          </w:p>
        </w:tc>
        <w:tc>
          <w:tcPr>
            <w:tcW w:w="2130" w:type="dxa"/>
            <w:vAlign w:val="center"/>
          </w:tcPr>
          <w:p w14:paraId="504A1CFB">
            <w:pPr>
              <w:keepNext w:val="0"/>
              <w:keepLines w:val="0"/>
              <w:widowControl/>
              <w:suppressLineNumbers w:val="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全国性银行</w:t>
            </w:r>
          </w:p>
        </w:tc>
        <w:tc>
          <w:tcPr>
            <w:tcW w:w="2131" w:type="dxa"/>
            <w:vAlign w:val="center"/>
          </w:tcPr>
          <w:p w14:paraId="6EAF3870">
            <w:pPr>
              <w:keepNext w:val="0"/>
              <w:keepLines w:val="0"/>
              <w:widowControl/>
              <w:suppressLineNumbers w:val="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{{bank_table_national.total_amount}}</w:t>
            </w:r>
          </w:p>
        </w:tc>
        <w:tc>
          <w:tcPr>
            <w:tcW w:w="2131" w:type="dxa"/>
            <w:vAlign w:val="center"/>
          </w:tcPr>
          <w:p w14:paraId="32DCD261">
            <w:pPr>
              <w:keepNext w:val="0"/>
              <w:keepLines w:val="0"/>
              <w:widowControl/>
              <w:suppressLineNumbers w:val="0"/>
              <w:jc w:val="left"/>
              <w:rPr>
                <w:rFonts w:hint="eastAsia"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{{bank_table_national.total_ratio}}%</w:t>
            </w:r>
          </w:p>
        </w:tc>
      </w:tr>
      <w:tr w14:paraId="558F4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A09E175">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{{bank_table_national.index}}</w:t>
            </w:r>
          </w:p>
        </w:tc>
        <w:tc>
          <w:tcPr>
            <w:tcW w:w="2130" w:type="dxa"/>
            <w:vAlign w:val="center"/>
          </w:tcPr>
          <w:p w14:paraId="50F4EAAA">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{{bank_table_national.name}}</w:t>
            </w:r>
          </w:p>
        </w:tc>
        <w:tc>
          <w:tcPr>
            <w:tcW w:w="2131" w:type="dxa"/>
            <w:vAlign w:val="center"/>
          </w:tcPr>
          <w:p w14:paraId="65EEADBE">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{{bank_table_national.amount}}</w:t>
            </w:r>
          </w:p>
        </w:tc>
        <w:tc>
          <w:tcPr>
            <w:tcW w:w="2131" w:type="dxa"/>
            <w:vAlign w:val="center"/>
          </w:tcPr>
          <w:p w14:paraId="31672BAA">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{{bank_table_national.ratio}}%</w:t>
            </w:r>
          </w:p>
        </w:tc>
      </w:tr>
      <w:tr w14:paraId="3A94A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2961276">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（二）</w:t>
            </w:r>
          </w:p>
        </w:tc>
        <w:tc>
          <w:tcPr>
            <w:tcW w:w="2130" w:type="dxa"/>
            <w:vAlign w:val="center"/>
          </w:tcPr>
          <w:p w14:paraId="486923CD">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地方性银行</w:t>
            </w:r>
          </w:p>
        </w:tc>
        <w:tc>
          <w:tcPr>
            <w:tcW w:w="2131" w:type="dxa"/>
            <w:vAlign w:val="center"/>
          </w:tcPr>
          <w:p w14:paraId="0C81A9A8">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{{bank_table_local.total_amount}}</w:t>
            </w:r>
          </w:p>
        </w:tc>
        <w:tc>
          <w:tcPr>
            <w:tcW w:w="2131" w:type="dxa"/>
            <w:vAlign w:val="center"/>
          </w:tcPr>
          <w:p w14:paraId="76BE379B">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{{bank_table_local.total_ratio}}%</w:t>
            </w:r>
          </w:p>
        </w:tc>
      </w:tr>
      <w:tr w14:paraId="1EC6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5DE22D8">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{{bank_table_local.index}}</w:t>
            </w:r>
          </w:p>
        </w:tc>
        <w:tc>
          <w:tcPr>
            <w:tcW w:w="2130" w:type="dxa"/>
            <w:vAlign w:val="center"/>
          </w:tcPr>
          <w:p w14:paraId="4DAD3418">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{{bank_table_local.name}}</w:t>
            </w:r>
          </w:p>
        </w:tc>
        <w:tc>
          <w:tcPr>
            <w:tcW w:w="2131" w:type="dxa"/>
            <w:vAlign w:val="center"/>
          </w:tcPr>
          <w:p w14:paraId="72B1F822">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{{bank_table_local.amount}}</w:t>
            </w:r>
          </w:p>
        </w:tc>
        <w:tc>
          <w:tcPr>
            <w:tcW w:w="2131" w:type="dxa"/>
            <w:vAlign w:val="center"/>
          </w:tcPr>
          <w:p w14:paraId="25725862">
            <w:pPr>
              <w:keepNext w:val="0"/>
              <w:keepLines w:val="0"/>
              <w:widowControl/>
              <w:suppressLineNumbers w:val="0"/>
              <w:jc w:val="left"/>
              <w:rPr>
                <w:rFonts w:ascii="宋体" w:hAnsi="宋体" w:eastAsia="宋体" w:cs="宋体"/>
                <w:kern w:val="0"/>
                <w:sz w:val="24"/>
                <w:szCs w:val="24"/>
                <w:lang w:val="en-US" w:eastAsia="zh-CN" w:bidi="ar"/>
              </w:rPr>
            </w:pPr>
            <w:r>
              <w:rPr>
                <w:rFonts w:hint="default" w:ascii="宋体" w:hAnsi="宋体" w:eastAsia="宋体" w:cs="宋体"/>
                <w:kern w:val="0"/>
                <w:sz w:val="24"/>
                <w:szCs w:val="24"/>
                <w:lang w:val="en-US" w:eastAsia="zh-CN" w:bidi="ar"/>
              </w:rPr>
              <w:t>{{bank_table_local.ratio}}%</w:t>
            </w:r>
          </w:p>
        </w:tc>
      </w:tr>
    </w:tbl>
    <w:p w14:paraId="427B21E0">
      <w:pPr>
        <w:ind w:firstLine="420" w:firstLineChars="200"/>
        <w:rPr>
          <w:rFonts w:hint="eastAsia" w:ascii="仿宋_GB2312" w:hAnsi="仿宋_GB2312" w:eastAsia="仿宋_GB2312" w:cs="仿宋_GB2312"/>
          <w:color w:val="auto"/>
          <w:kern w:val="0"/>
          <w:szCs w:val="21"/>
          <w:highlight w:val="none"/>
        </w:rPr>
      </w:pPr>
      <w:r>
        <w:rPr>
          <w:rFonts w:hint="eastAsia" w:ascii="仿宋_GB2312" w:hAnsi="仿宋_GB2312" w:eastAsia="仿宋_GB2312" w:cs="仿宋_GB2312"/>
          <w:color w:val="auto"/>
          <w:kern w:val="0"/>
          <w:szCs w:val="21"/>
          <w:highlight w:val="none"/>
        </w:rPr>
        <w:t>备注：1.合作银行按</w:t>
      </w:r>
      <w:r>
        <w:rPr>
          <w:rFonts w:hint="eastAsia" w:ascii="仿宋_GB2312" w:hAnsi="仿宋_GB2312" w:eastAsia="仿宋_GB2312" w:cs="仿宋_GB2312"/>
          <w:color w:val="auto"/>
          <w:kern w:val="0"/>
          <w:szCs w:val="21"/>
          <w:highlight w:val="none"/>
          <w:lang w:eastAsia="zh-CN"/>
        </w:rPr>
        <w:t>上半年</w:t>
      </w:r>
      <w:r>
        <w:rPr>
          <w:rFonts w:hint="eastAsia" w:ascii="仿宋_GB2312" w:hAnsi="仿宋_GB2312" w:eastAsia="仿宋_GB2312" w:cs="仿宋_GB2312"/>
          <w:color w:val="auto"/>
          <w:kern w:val="0"/>
          <w:szCs w:val="21"/>
          <w:highlight w:val="none"/>
        </w:rPr>
        <w:t>合作业务规模降序排列</w:t>
      </w:r>
    </w:p>
    <w:p w14:paraId="529CB299">
      <w:pPr>
        <w:ind w:firstLine="1050" w:firstLineChars="500"/>
        <w:rPr>
          <w:rFonts w:hint="eastAsia" w:ascii="仿宋_GB2312" w:hAnsi="仿宋_GB2312" w:eastAsia="仿宋_GB2312" w:cs="仿宋_GB2312"/>
          <w:color w:val="auto"/>
          <w:kern w:val="0"/>
          <w:szCs w:val="21"/>
          <w:highlight w:val="none"/>
        </w:rPr>
      </w:pPr>
      <w:r>
        <w:rPr>
          <w:rFonts w:hint="eastAsia" w:ascii="仿宋_GB2312" w:hAnsi="仿宋_GB2312" w:eastAsia="仿宋_GB2312" w:cs="仿宋_GB2312"/>
          <w:color w:val="auto"/>
          <w:kern w:val="0"/>
          <w:szCs w:val="21"/>
          <w:highlight w:val="none"/>
        </w:rPr>
        <w:t>2.规模占比=各合作银行合作业务规模/体系合作业务总规模 *100%</w:t>
      </w:r>
    </w:p>
    <w:p w14:paraId="602F9C0E">
      <w:pPr>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楷体" w:hAnsi="楷体" w:eastAsia="楷体" w:cs="楷体"/>
          <w:bCs/>
          <w:color w:val="auto"/>
          <w:sz w:val="32"/>
          <w:szCs w:val="32"/>
          <w:highlight w:val="none"/>
        </w:rPr>
        <w:t>（</w:t>
      </w:r>
      <w:r>
        <w:rPr>
          <w:rFonts w:hint="eastAsia" w:ascii="楷体" w:hAnsi="楷体" w:eastAsia="楷体" w:cs="楷体"/>
          <w:bCs/>
          <w:color w:val="auto"/>
          <w:sz w:val="32"/>
          <w:szCs w:val="32"/>
          <w:highlight w:val="none"/>
          <w:lang w:val="en-US" w:eastAsia="zh-CN"/>
        </w:rPr>
        <w:t>三</w:t>
      </w:r>
      <w:r>
        <w:rPr>
          <w:rFonts w:hint="eastAsia" w:ascii="楷体" w:hAnsi="楷体" w:eastAsia="楷体" w:cs="楷体"/>
          <w:bCs/>
          <w:color w:val="auto"/>
          <w:sz w:val="32"/>
          <w:szCs w:val="32"/>
          <w:highlight w:val="none"/>
        </w:rPr>
        <w:t>）综合融资成本及担保费率情况。</w:t>
      </w:r>
      <w:r>
        <w:rPr>
          <w:rFonts w:hint="eastAsia" w:ascii="仿宋_GB2312" w:hAnsi="仿宋_GB2312" w:eastAsia="仿宋_GB2312" w:cs="仿宋_GB2312"/>
          <w:color w:val="auto"/>
          <w:sz w:val="32"/>
          <w:szCs w:val="32"/>
          <w:highlight w:val="none"/>
        </w:rPr>
        <w:t>上半年，省再担保公司再担保业务平均综合融资成本{{cost.avg_total_cost}}%，较上年同期下降{{cost.cost_reduction}}个百分点。平均贷款利率为{{cost.avg_loan_rate}}%，较上年同期下降{{cost.loan_rate_reduction}}个百分点，其中{{cost.banks_with_lower_rate}}家合作担保机构平均贷款利率较上年有所下降。平均担保费率{{cost.avg_guarantee_rate}}%，所有合作担保机构均不超过1%。整体来看，体系平均担保费率已降至较低水平。详见表</w:t>
      </w:r>
      <w:r>
        <w:rPr>
          <w:rFonts w:hint="eastAsia" w:ascii="仿宋_GB2312" w:hAnsi="仿宋_GB2312" w:eastAsia="仿宋_GB2312" w:cs="仿宋_GB2312"/>
          <w:color w:val="auto"/>
          <w:sz w:val="32"/>
          <w:szCs w:val="32"/>
          <w:highlight w:val="none"/>
          <w:lang w:val="en-US" w:eastAsia="zh-CN"/>
        </w:rPr>
        <w:t>四</w:t>
      </w:r>
      <w:r>
        <w:rPr>
          <w:rFonts w:hint="eastAsia" w:ascii="仿宋_GB2312" w:hAnsi="仿宋_GB2312" w:eastAsia="仿宋_GB2312" w:cs="仿宋_GB2312"/>
          <w:color w:val="auto"/>
          <w:sz w:val="32"/>
          <w:szCs w:val="32"/>
          <w:highlight w:val="none"/>
        </w:rPr>
        <w:t>。</w:t>
      </w:r>
    </w:p>
    <w:p w14:paraId="5257D2FE">
      <w:pPr>
        <w:numPr>
          <w:ilvl w:val="0"/>
          <w:numId w:val="0"/>
        </w:numPr>
        <w:ind w:left="160" w:leftChars="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表四：再担保业务综合融资成本统计表</w:t>
      </w:r>
    </w:p>
    <w:p w14:paraId="2F40E7B9">
      <w:pPr>
        <w:numPr>
          <w:ilvl w:val="0"/>
          <w:numId w:val="0"/>
        </w:numPr>
        <w:ind w:left="160" w:leftChars="0"/>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24"/>
          <w:highlight w:val="none"/>
        </w:rPr>
        <w:t>单位：%</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8"/>
        <w:gridCol w:w="1159"/>
        <w:gridCol w:w="2201"/>
        <w:gridCol w:w="1952"/>
        <w:gridCol w:w="2002"/>
      </w:tblGrid>
      <w:tr w14:paraId="5C4B3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vAlign w:val="center"/>
          </w:tcPr>
          <w:p w14:paraId="14FD3335">
            <w:pPr>
              <w:keepNext w:val="0"/>
              <w:keepLines w:val="0"/>
              <w:widowControl/>
              <w:suppressLineNumbers w:val="0"/>
              <w:jc w:val="center"/>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序号</w:t>
            </w:r>
          </w:p>
        </w:tc>
        <w:tc>
          <w:tcPr>
            <w:tcW w:w="1704" w:type="dxa"/>
            <w:vAlign w:val="center"/>
          </w:tcPr>
          <w:p w14:paraId="1D63A6C3">
            <w:pPr>
              <w:keepNext w:val="0"/>
              <w:keepLines w:val="0"/>
              <w:widowControl/>
              <w:suppressLineNumbers w:val="0"/>
              <w:jc w:val="center"/>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担保机构简称</w:t>
            </w:r>
          </w:p>
        </w:tc>
        <w:tc>
          <w:tcPr>
            <w:tcW w:w="1704" w:type="dxa"/>
            <w:vAlign w:val="center"/>
          </w:tcPr>
          <w:p w14:paraId="72587C51">
            <w:pPr>
              <w:keepNext w:val="0"/>
              <w:keepLines w:val="0"/>
              <w:widowControl/>
              <w:suppressLineNumbers w:val="0"/>
              <w:jc w:val="center"/>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平均担保费率</w:t>
            </w:r>
          </w:p>
        </w:tc>
        <w:tc>
          <w:tcPr>
            <w:tcW w:w="1705" w:type="dxa"/>
            <w:vAlign w:val="center"/>
          </w:tcPr>
          <w:p w14:paraId="454971CE">
            <w:pPr>
              <w:keepNext w:val="0"/>
              <w:keepLines w:val="0"/>
              <w:widowControl/>
              <w:suppressLineNumbers w:val="0"/>
              <w:jc w:val="center"/>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平均贷款利率</w:t>
            </w:r>
          </w:p>
        </w:tc>
        <w:tc>
          <w:tcPr>
            <w:tcW w:w="1705" w:type="dxa"/>
            <w:vAlign w:val="center"/>
          </w:tcPr>
          <w:p w14:paraId="5C170EBC">
            <w:pPr>
              <w:keepNext w:val="0"/>
              <w:keepLines w:val="0"/>
              <w:widowControl/>
              <w:suppressLineNumbers w:val="0"/>
              <w:jc w:val="center"/>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综合融资成本</w:t>
            </w:r>
          </w:p>
        </w:tc>
      </w:tr>
      <w:tr w14:paraId="2F194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0C26F153">
            <w:pPr>
              <w:keepNext w:val="0"/>
              <w:keepLines w:val="0"/>
              <w:widowControl/>
              <w:suppressLineNumbers w:val="0"/>
              <w:jc w:val="left"/>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{{cost_table.index}}</w:t>
            </w:r>
          </w:p>
        </w:tc>
        <w:tc>
          <w:tcPr>
            <w:tcW w:w="1704" w:type="dxa"/>
            <w:vAlign w:val="center"/>
          </w:tcPr>
          <w:p w14:paraId="10DDFE5F">
            <w:pPr>
              <w:keepNext w:val="0"/>
              <w:keepLines w:val="0"/>
              <w:widowControl/>
              <w:suppressLineNumbers w:val="0"/>
              <w:jc w:val="left"/>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{{cost_table.name}}</w:t>
            </w:r>
          </w:p>
        </w:tc>
        <w:tc>
          <w:tcPr>
            <w:tcW w:w="1704" w:type="dxa"/>
            <w:vAlign w:val="center"/>
          </w:tcPr>
          <w:p w14:paraId="6FB71FD6">
            <w:pPr>
              <w:keepNext w:val="0"/>
              <w:keepLines w:val="0"/>
              <w:widowControl/>
              <w:suppressLineNumbers w:val="0"/>
              <w:jc w:val="left"/>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{{cost_table.guarantee_rate}}%</w:t>
            </w:r>
          </w:p>
        </w:tc>
        <w:tc>
          <w:tcPr>
            <w:tcW w:w="1705" w:type="dxa"/>
            <w:vAlign w:val="center"/>
          </w:tcPr>
          <w:p w14:paraId="06481584">
            <w:pPr>
              <w:keepNext w:val="0"/>
              <w:keepLines w:val="0"/>
              <w:widowControl/>
              <w:suppressLineNumbers w:val="0"/>
              <w:jc w:val="left"/>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{{cost_table.loan_rate}}%</w:t>
            </w:r>
          </w:p>
        </w:tc>
        <w:tc>
          <w:tcPr>
            <w:tcW w:w="1705" w:type="dxa"/>
            <w:vAlign w:val="center"/>
          </w:tcPr>
          <w:p w14:paraId="164557FF">
            <w:pPr>
              <w:keepNext w:val="0"/>
              <w:keepLines w:val="0"/>
              <w:widowControl/>
              <w:suppressLineNumbers w:val="0"/>
              <w:jc w:val="left"/>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{{cost_table.total_cost}}%</w:t>
            </w:r>
          </w:p>
        </w:tc>
      </w:tr>
      <w:tr w14:paraId="0C52D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484F83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合计</w:t>
            </w:r>
          </w:p>
        </w:tc>
        <w:tc>
          <w:tcPr>
            <w:tcW w:w="1704" w:type="dxa"/>
            <w:vAlign w:val="center"/>
          </w:tcPr>
          <w:p w14:paraId="5D9FA94C">
            <w:pPr>
              <w:rPr>
                <w:rFonts w:ascii="宋体" w:hAnsi="宋体" w:eastAsia="宋体" w:cs="宋体"/>
                <w:kern w:val="0"/>
                <w:sz w:val="24"/>
                <w:szCs w:val="24"/>
                <w:lang w:val="en-US" w:eastAsia="zh-CN" w:bidi="ar"/>
              </w:rPr>
            </w:pPr>
          </w:p>
        </w:tc>
        <w:tc>
          <w:tcPr>
            <w:tcW w:w="1704" w:type="dxa"/>
            <w:vAlign w:val="center"/>
          </w:tcPr>
          <w:p w14:paraId="0C9D877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{{cost_table_total.avg_guarantee_rate}}%</w:t>
            </w:r>
          </w:p>
        </w:tc>
        <w:tc>
          <w:tcPr>
            <w:tcW w:w="1705" w:type="dxa"/>
            <w:vAlign w:val="center"/>
          </w:tcPr>
          <w:p w14:paraId="6A24677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{{cost_table_total.avg_loan_rate}}%</w:t>
            </w:r>
          </w:p>
        </w:tc>
        <w:tc>
          <w:tcPr>
            <w:tcW w:w="1705" w:type="dxa"/>
            <w:vAlign w:val="center"/>
          </w:tcPr>
          <w:p w14:paraId="6A1BEB8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{{cost_table_total.avg_total_cost}}%</w:t>
            </w:r>
          </w:p>
        </w:tc>
      </w:tr>
    </w:tbl>
    <w:p w14:paraId="5581FD47">
      <w:pPr>
        <w:rPr>
          <w:rFonts w:ascii="仿宋" w:hAnsi="仿宋" w:eastAsia="仿宋" w:cs="宋体"/>
          <w:color w:val="auto"/>
          <w:kern w:val="0"/>
          <w:szCs w:val="21"/>
          <w:highlight w:val="none"/>
        </w:rPr>
      </w:pPr>
      <w:r>
        <w:rPr>
          <w:rFonts w:hint="eastAsia" w:ascii="仿宋" w:hAnsi="仿宋" w:eastAsia="仿宋" w:cs="宋体"/>
          <w:color w:val="auto"/>
          <w:kern w:val="0"/>
          <w:szCs w:val="21"/>
          <w:highlight w:val="none"/>
        </w:rPr>
        <w:t>备注：合作担保机构按</w:t>
      </w:r>
      <w:r>
        <w:rPr>
          <w:rFonts w:hint="eastAsia" w:ascii="仿宋" w:hAnsi="仿宋" w:eastAsia="仿宋" w:cs="宋体"/>
          <w:color w:val="auto"/>
          <w:kern w:val="0"/>
          <w:szCs w:val="21"/>
          <w:highlight w:val="none"/>
          <w:lang w:eastAsia="zh-CN"/>
        </w:rPr>
        <w:t>上半年再担保</w:t>
      </w:r>
      <w:r>
        <w:rPr>
          <w:rFonts w:hint="eastAsia" w:ascii="仿宋" w:hAnsi="仿宋" w:eastAsia="仿宋" w:cs="宋体"/>
          <w:color w:val="auto"/>
          <w:kern w:val="0"/>
          <w:szCs w:val="21"/>
          <w:highlight w:val="none"/>
        </w:rPr>
        <w:t>业务综合融资成本升序排列</w:t>
      </w:r>
    </w:p>
    <w:p w14:paraId="41F1339B">
      <w:pPr>
        <w:numPr>
          <w:ilvl w:val="0"/>
          <w:numId w:val="1"/>
        </w:numPr>
        <w:ind w:firstLine="640" w:firstLineChars="200"/>
        <w:jc w:val="left"/>
        <w:rPr>
          <w:rFonts w:hint="eastAsia" w:ascii="黑体" w:hAnsi="宋体" w:eastAsia="黑体" w:cs="黑体"/>
          <w:color w:val="auto"/>
          <w:sz w:val="32"/>
          <w:szCs w:val="32"/>
          <w:highlight w:val="none"/>
        </w:rPr>
      </w:pPr>
      <w:r>
        <w:rPr>
          <w:rFonts w:hint="eastAsia" w:ascii="黑体" w:hAnsi="宋体" w:eastAsia="黑体" w:cs="黑体"/>
          <w:color w:val="auto"/>
          <w:sz w:val="32"/>
          <w:szCs w:val="32"/>
          <w:highlight w:val="none"/>
          <w:lang w:eastAsia="zh-CN"/>
        </w:rPr>
        <w:t>银行参与分险业务</w:t>
      </w:r>
      <w:r>
        <w:rPr>
          <w:rFonts w:hint="eastAsia" w:ascii="黑体" w:hAnsi="宋体" w:eastAsia="黑体" w:cs="黑体"/>
          <w:color w:val="auto"/>
          <w:sz w:val="32"/>
          <w:szCs w:val="32"/>
          <w:highlight w:val="none"/>
          <w:lang w:val="en-US" w:eastAsia="zh-CN"/>
        </w:rPr>
        <w:t>开展</w:t>
      </w:r>
      <w:r>
        <w:rPr>
          <w:rFonts w:hint="eastAsia" w:ascii="黑体" w:hAnsi="宋体" w:eastAsia="黑体" w:cs="黑体"/>
          <w:color w:val="auto"/>
          <w:sz w:val="32"/>
          <w:szCs w:val="32"/>
          <w:highlight w:val="none"/>
        </w:rPr>
        <w:t>情况</w:t>
      </w:r>
    </w:p>
    <w:p w14:paraId="229343B4">
      <w:pPr>
        <w:ind w:firstLine="640" w:firstLineChars="200"/>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为提高我省银行参与分险业务比例，省再担保公司持续探索试点银担批量担保模式，引领体系分险业务规模稳步增长，上半年体系新增银行参与分险业务规模{{risk_sharing.total_amount}}亿元，较上年同期增长{{risk_sharing.yoy}}%，占全部再担保业务的{{risk_sharing.share_ratio}}%。</w:t>
      </w:r>
    </w:p>
    <w:p w14:paraId="49A1FE6B">
      <w:pPr>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楷体" w:hAnsi="楷体" w:eastAsia="楷体" w:cs="楷体"/>
          <w:bCs/>
          <w:color w:val="auto"/>
          <w:sz w:val="32"/>
          <w:szCs w:val="32"/>
          <w:highlight w:val="none"/>
          <w:lang w:val="en-US" w:eastAsia="zh-CN"/>
        </w:rPr>
        <w:t>（一）担保机构分险业务开展情况</w:t>
      </w:r>
      <w:r>
        <w:rPr>
          <w:rFonts w:hint="eastAsia" w:ascii="仿宋" w:hAnsi="仿宋" w:eastAsia="仿宋" w:cs="仿宋_GB2312"/>
          <w:color w:val="auto"/>
          <w:sz w:val="32"/>
          <w:szCs w:val="32"/>
          <w:highlight w:val="none"/>
          <w:lang w:val="en-US" w:eastAsia="zh-CN"/>
        </w:rPr>
        <w:t>。上半年，{{risk_sharing.institutions_with_risk_sharing}}家合作担保机构开展了银行参与分险业务，{{risk_sharing.institutions_over_90pct}}家合作担保机构分险业务规模占比超过90%，其中{{risk_sharing.institutions_100pct}}家合作担保机构实现银行参与分险业务规模占比100%，落实银担风险分担机制取得良好成效。业务规模排名在前三位的分别是{{top3_risk_sharing.first_name}}{{top3_risk_sharing.first_amount}}亿元、{{top3_risk_sharing.second_name}}{{top3_risk_sharing.second_amount}}亿元、{{top3_risk_sharing.third_name}}{{top3_risk_sharing.third_amount}}亿元</w:t>
      </w:r>
      <w:r>
        <w:rPr>
          <w:rFonts w:hint="eastAsia" w:ascii="仿宋_GB2312" w:hAnsi="仿宋_GB2312" w:eastAsia="仿宋_GB2312" w:cs="仿宋_GB2312"/>
          <w:color w:val="auto"/>
          <w:sz w:val="32"/>
          <w:szCs w:val="32"/>
          <w:highlight w:val="none"/>
        </w:rPr>
        <w:t>。详见表</w:t>
      </w:r>
      <w:r>
        <w:rPr>
          <w:rFonts w:hint="eastAsia" w:ascii="仿宋_GB2312" w:hAnsi="仿宋_GB2312" w:eastAsia="仿宋_GB2312" w:cs="仿宋_GB2312"/>
          <w:color w:val="auto"/>
          <w:sz w:val="32"/>
          <w:szCs w:val="32"/>
          <w:highlight w:val="none"/>
          <w:lang w:val="en-US" w:eastAsia="zh-CN"/>
        </w:rPr>
        <w:t>五</w:t>
      </w:r>
      <w:r>
        <w:rPr>
          <w:rFonts w:hint="eastAsia" w:ascii="仿宋_GB2312" w:hAnsi="仿宋_GB2312" w:eastAsia="仿宋_GB2312" w:cs="仿宋_GB2312"/>
          <w:color w:val="auto"/>
          <w:sz w:val="32"/>
          <w:szCs w:val="32"/>
          <w:highlight w:val="none"/>
        </w:rPr>
        <w:t>。</w:t>
      </w:r>
    </w:p>
    <w:p w14:paraId="61AB585C">
      <w:pPr>
        <w:numPr>
          <w:ilvl w:val="0"/>
          <w:numId w:val="0"/>
        </w:numPr>
        <w:ind w:left="160" w:leftChars="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表五：银行参与分险再担保业务统计表</w:t>
      </w:r>
    </w:p>
    <w:p w14:paraId="15631178">
      <w:pPr>
        <w:numPr>
          <w:ilvl w:val="0"/>
          <w:numId w:val="0"/>
        </w:numPr>
        <w:ind w:left="160" w:leftChars="0"/>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24"/>
          <w:highlight w:val="none"/>
          <w:lang w:eastAsia="zh-CN"/>
        </w:rPr>
        <w:t>金额单位：万元</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8"/>
        <w:gridCol w:w="1308"/>
        <w:gridCol w:w="1874"/>
        <w:gridCol w:w="1793"/>
        <w:gridCol w:w="2199"/>
      </w:tblGrid>
      <w:tr w14:paraId="4710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60B0A39">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序号</w:t>
            </w:r>
          </w:p>
        </w:tc>
        <w:tc>
          <w:tcPr>
            <w:tcW w:w="1704" w:type="dxa"/>
            <w:vAlign w:val="center"/>
          </w:tcPr>
          <w:p w14:paraId="559B801B">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担保机构简称</w:t>
            </w:r>
          </w:p>
        </w:tc>
        <w:tc>
          <w:tcPr>
            <w:tcW w:w="1704" w:type="dxa"/>
            <w:vAlign w:val="center"/>
          </w:tcPr>
          <w:p w14:paraId="6B25626F">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分险业务规模</w:t>
            </w:r>
          </w:p>
        </w:tc>
        <w:tc>
          <w:tcPr>
            <w:tcW w:w="1705" w:type="dxa"/>
            <w:vAlign w:val="center"/>
          </w:tcPr>
          <w:p w14:paraId="2485DF22">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同比增减</w:t>
            </w:r>
          </w:p>
        </w:tc>
        <w:tc>
          <w:tcPr>
            <w:tcW w:w="1705" w:type="dxa"/>
            <w:vAlign w:val="center"/>
          </w:tcPr>
          <w:p w14:paraId="44E1B6DA">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分险业务占比</w:t>
            </w:r>
          </w:p>
        </w:tc>
      </w:tr>
      <w:tr w14:paraId="71D1D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24F353AF">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{{risk_sharing_table.index}}</w:t>
            </w:r>
          </w:p>
        </w:tc>
        <w:tc>
          <w:tcPr>
            <w:tcW w:w="1704" w:type="dxa"/>
            <w:vAlign w:val="center"/>
          </w:tcPr>
          <w:p w14:paraId="4B9EF535">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{{risk_sharing_table.name}}</w:t>
            </w:r>
          </w:p>
        </w:tc>
        <w:tc>
          <w:tcPr>
            <w:tcW w:w="1704" w:type="dxa"/>
            <w:vAlign w:val="center"/>
          </w:tcPr>
          <w:p w14:paraId="5F12091C">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{{risk_sharing_table.amount}}</w:t>
            </w:r>
          </w:p>
        </w:tc>
        <w:tc>
          <w:tcPr>
            <w:tcW w:w="1705" w:type="dxa"/>
            <w:vAlign w:val="center"/>
          </w:tcPr>
          <w:p w14:paraId="25C3E596">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{{risk_sharing_table.yoy}}%</w:t>
            </w:r>
          </w:p>
        </w:tc>
        <w:tc>
          <w:tcPr>
            <w:tcW w:w="1705" w:type="dxa"/>
            <w:vAlign w:val="center"/>
          </w:tcPr>
          <w:p w14:paraId="4A6EA1D4">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{{risk_sharing_table.share_ratio}}%</w:t>
            </w:r>
          </w:p>
        </w:tc>
      </w:tr>
      <w:tr w14:paraId="0C42B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06E9466E">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合计</w:t>
            </w:r>
          </w:p>
        </w:tc>
        <w:tc>
          <w:tcPr>
            <w:tcW w:w="1704" w:type="dxa"/>
            <w:vAlign w:val="center"/>
          </w:tcPr>
          <w:p w14:paraId="3080F6F6">
            <w:pPr>
              <w:rPr>
                <w:rFonts w:hint="eastAsia" w:ascii="仿宋_GB2312" w:hAnsi="仿宋_GB2312" w:eastAsia="仿宋_GB2312" w:cs="仿宋_GB2312"/>
                <w:color w:val="auto"/>
                <w:sz w:val="32"/>
                <w:szCs w:val="32"/>
                <w:highlight w:val="none"/>
                <w:vertAlign w:val="baseline"/>
                <w:lang w:val="en-US" w:eastAsia="zh-CN"/>
              </w:rPr>
            </w:pPr>
          </w:p>
        </w:tc>
        <w:tc>
          <w:tcPr>
            <w:tcW w:w="1704" w:type="dxa"/>
            <w:vAlign w:val="center"/>
          </w:tcPr>
          <w:p w14:paraId="16A8A3BE">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{{risk_sharing_table_total.total_amount}}</w:t>
            </w:r>
          </w:p>
        </w:tc>
        <w:tc>
          <w:tcPr>
            <w:tcW w:w="1705" w:type="dxa"/>
            <w:vAlign w:val="center"/>
          </w:tcPr>
          <w:p w14:paraId="27AB0B8B">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{{risk_sharing_table_total.total_yoy}}%</w:t>
            </w:r>
          </w:p>
        </w:tc>
        <w:tc>
          <w:tcPr>
            <w:tcW w:w="1705" w:type="dxa"/>
            <w:vAlign w:val="center"/>
          </w:tcPr>
          <w:p w14:paraId="78EE1E5D">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{{risk_sharing_table_total.overall_share_ratio}}%</w:t>
            </w:r>
          </w:p>
        </w:tc>
      </w:tr>
    </w:tbl>
    <w:p w14:paraId="6379AEFE">
      <w:pPr>
        <w:numPr>
          <w:ilvl w:val="0"/>
          <w:numId w:val="0"/>
        </w:numPr>
        <w:ind w:left="160" w:leftChars="0"/>
        <w:rPr>
          <w:rFonts w:hint="eastAsia" w:ascii="仿宋_GB2312" w:hAnsi="仿宋_GB2312" w:eastAsia="仿宋_GB2312" w:cs="仿宋_GB2312"/>
          <w:color w:val="auto"/>
          <w:sz w:val="32"/>
          <w:szCs w:val="32"/>
          <w:highlight w:val="none"/>
          <w:lang w:val="en-US" w:eastAsia="zh-CN"/>
        </w:rPr>
      </w:pPr>
    </w:p>
    <w:p w14:paraId="60B10D51">
      <w:pPr>
        <w:ind w:firstLine="420" w:firstLineChars="200"/>
        <w:rPr>
          <w:rFonts w:hint="eastAsia" w:ascii="仿宋_GB2312" w:hAnsi="仿宋_GB2312" w:eastAsia="仿宋_GB2312" w:cs="仿宋_GB2312"/>
          <w:color w:val="auto"/>
          <w:kern w:val="0"/>
          <w:szCs w:val="21"/>
          <w:highlight w:val="none"/>
        </w:rPr>
      </w:pPr>
      <w:r>
        <w:rPr>
          <w:rFonts w:hint="eastAsia" w:ascii="仿宋_GB2312" w:hAnsi="仿宋_GB2312" w:eastAsia="仿宋_GB2312" w:cs="仿宋_GB2312"/>
          <w:color w:val="auto"/>
          <w:szCs w:val="21"/>
          <w:highlight w:val="none"/>
        </w:rPr>
        <w:t>备注：1.各合作担保机构</w:t>
      </w:r>
      <w:r>
        <w:rPr>
          <w:rFonts w:hint="eastAsia" w:ascii="仿宋_GB2312" w:hAnsi="仿宋_GB2312" w:eastAsia="仿宋_GB2312" w:cs="仿宋_GB2312"/>
          <w:color w:val="auto"/>
          <w:kern w:val="0"/>
          <w:szCs w:val="21"/>
          <w:highlight w:val="none"/>
        </w:rPr>
        <w:t>按</w:t>
      </w:r>
      <w:r>
        <w:rPr>
          <w:rFonts w:hint="eastAsia" w:ascii="仿宋_GB2312" w:hAnsi="仿宋_GB2312" w:eastAsia="仿宋_GB2312" w:cs="仿宋_GB2312"/>
          <w:color w:val="auto"/>
          <w:kern w:val="0"/>
          <w:szCs w:val="21"/>
          <w:highlight w:val="none"/>
          <w:lang w:eastAsia="zh-CN"/>
        </w:rPr>
        <w:t>上半年</w:t>
      </w:r>
      <w:r>
        <w:rPr>
          <w:rFonts w:hint="eastAsia" w:ascii="仿宋_GB2312" w:hAnsi="仿宋_GB2312" w:eastAsia="仿宋_GB2312" w:cs="仿宋_GB2312"/>
          <w:color w:val="auto"/>
          <w:kern w:val="0"/>
          <w:szCs w:val="21"/>
          <w:highlight w:val="none"/>
        </w:rPr>
        <w:t>合作业务规模降序排列</w:t>
      </w:r>
    </w:p>
    <w:p w14:paraId="0F5B94C1">
      <w:pPr>
        <w:ind w:left="420" w:leftChars="200" w:firstLine="630" w:firstLineChars="300"/>
        <w:rPr>
          <w:rFonts w:hint="eastAsia" w:ascii="仿宋_GB2312" w:hAnsi="仿宋_GB2312" w:eastAsia="仿宋_GB2312" w:cs="仿宋_GB2312"/>
          <w:color w:val="auto"/>
          <w:kern w:val="0"/>
          <w:szCs w:val="21"/>
          <w:highlight w:val="none"/>
        </w:rPr>
      </w:pPr>
      <w:r>
        <w:rPr>
          <w:rFonts w:hint="eastAsia" w:ascii="仿宋_GB2312" w:hAnsi="仿宋_GB2312" w:eastAsia="仿宋_GB2312" w:cs="仿宋_GB2312"/>
          <w:color w:val="auto"/>
          <w:kern w:val="0"/>
          <w:szCs w:val="21"/>
          <w:highlight w:val="none"/>
        </w:rPr>
        <w:t>2.分险规模占比=</w:t>
      </w:r>
      <w:r>
        <w:rPr>
          <w:rFonts w:hint="eastAsia" w:ascii="仿宋_GB2312" w:hAnsi="仿宋_GB2312" w:eastAsia="仿宋_GB2312" w:cs="仿宋_GB2312"/>
          <w:color w:val="auto"/>
          <w:szCs w:val="21"/>
          <w:highlight w:val="none"/>
        </w:rPr>
        <w:t>担保机构</w:t>
      </w:r>
      <w:r>
        <w:rPr>
          <w:rFonts w:hint="eastAsia" w:ascii="仿宋_GB2312" w:hAnsi="仿宋_GB2312" w:eastAsia="仿宋_GB2312" w:cs="仿宋_GB2312"/>
          <w:color w:val="auto"/>
          <w:kern w:val="0"/>
          <w:szCs w:val="21"/>
          <w:highlight w:val="none"/>
        </w:rPr>
        <w:t>分险业务规模/</w:t>
      </w:r>
      <w:r>
        <w:rPr>
          <w:rFonts w:hint="eastAsia" w:ascii="仿宋_GB2312" w:hAnsi="仿宋_GB2312" w:eastAsia="仿宋_GB2312" w:cs="仿宋_GB2312"/>
          <w:color w:val="auto"/>
          <w:szCs w:val="21"/>
          <w:highlight w:val="none"/>
          <w:lang w:eastAsia="zh-CN"/>
        </w:rPr>
        <w:t>再担保</w:t>
      </w:r>
      <w:r>
        <w:rPr>
          <w:rFonts w:hint="eastAsia" w:ascii="仿宋_GB2312" w:hAnsi="仿宋_GB2312" w:eastAsia="仿宋_GB2312" w:cs="仿宋_GB2312"/>
          <w:color w:val="auto"/>
          <w:szCs w:val="21"/>
          <w:highlight w:val="none"/>
        </w:rPr>
        <w:t>业务总规模</w:t>
      </w:r>
      <w:r>
        <w:rPr>
          <w:rFonts w:hint="eastAsia" w:ascii="仿宋_GB2312" w:hAnsi="仿宋_GB2312" w:eastAsia="仿宋_GB2312" w:cs="仿宋_GB2312"/>
          <w:color w:val="auto"/>
          <w:kern w:val="0"/>
          <w:szCs w:val="21"/>
          <w:highlight w:val="none"/>
        </w:rPr>
        <w:t>*100%</w:t>
      </w:r>
    </w:p>
    <w:p w14:paraId="4A267CC6">
      <w:pPr>
        <w:ind w:firstLine="640" w:firstLineChars="200"/>
        <w:rPr>
          <w:rFonts w:hint="eastAsia" w:ascii="仿宋_GB2312" w:hAnsi="仿宋_GB2312" w:eastAsia="仿宋_GB2312" w:cs="仿宋_GB2312"/>
          <w:color w:val="auto"/>
          <w:sz w:val="32"/>
          <w:szCs w:val="32"/>
          <w:highlight w:val="none"/>
          <w:lang w:val="en-US" w:eastAsia="zh-CN"/>
        </w:rPr>
      </w:pPr>
      <w:r>
        <w:rPr>
          <w:rFonts w:hint="eastAsia" w:ascii="楷体" w:hAnsi="楷体" w:eastAsia="楷体" w:cs="楷体"/>
          <w:bCs/>
          <w:color w:val="auto"/>
          <w:sz w:val="32"/>
          <w:szCs w:val="32"/>
          <w:highlight w:val="none"/>
          <w:lang w:val="en-US" w:eastAsia="zh-CN"/>
        </w:rPr>
        <w:t>（二）合作银行分险业务开展情况</w:t>
      </w:r>
      <w:r>
        <w:rPr>
          <w:rFonts w:hint="eastAsia" w:ascii="仿宋" w:hAnsi="仿宋" w:eastAsia="仿宋" w:cs="仿宋_GB2312"/>
          <w:color w:val="auto"/>
          <w:sz w:val="32"/>
          <w:szCs w:val="32"/>
          <w:highlight w:val="none"/>
          <w:lang w:val="en-US" w:eastAsia="zh-CN"/>
        </w:rPr>
        <w:t>。上半年，全国性银行参与分险业务规模{{bank_risk_sharing.national_amount}}亿元，占同期合作业务规模的{{bank_risk_sharing.national_ratio}}%，业务主要集中在农业银行、工商银行和邮储银行；地方法人银行参与分险业务规模{{bank_risk_sharing.local_amount}}亿元，占同期合作业务规模的{{bank_risk_sharing.local_ratio}}%，业务主要集中在陕西农信、西安银行和长安银行。银行参与分险业务规模排名在前三位的银行分别是：{{top3_bank_risk.first_name}}{{top3_bank_risk.first_amount}}亿元，{{top3_bank_risk.second_name}}{{top3_bank_risk.second_amount}}亿元，{{top3_bank_risk.third_name}}{{top3_bank_risk.third_amount}}亿元</w:t>
      </w:r>
      <w:r>
        <w:rPr>
          <w:rFonts w:hint="eastAsia" w:ascii="仿宋_GB2312" w:hAnsi="仿宋_GB2312" w:eastAsia="仿宋_GB2312" w:cs="仿宋_GB2312"/>
          <w:color w:val="auto"/>
          <w:sz w:val="32"/>
          <w:szCs w:val="32"/>
          <w:highlight w:val="none"/>
        </w:rPr>
        <w:t>。详见表</w:t>
      </w:r>
      <w:r>
        <w:rPr>
          <w:rFonts w:hint="eastAsia" w:ascii="仿宋_GB2312" w:hAnsi="仿宋_GB2312" w:eastAsia="仿宋_GB2312" w:cs="仿宋_GB2312"/>
          <w:color w:val="auto"/>
          <w:sz w:val="32"/>
          <w:szCs w:val="32"/>
          <w:highlight w:val="none"/>
          <w:lang w:val="en-US" w:eastAsia="zh-CN"/>
        </w:rPr>
        <w:t>六</w:t>
      </w:r>
      <w:r>
        <w:rPr>
          <w:rFonts w:hint="eastAsia" w:ascii="仿宋_GB2312" w:hAnsi="仿宋_GB2312" w:eastAsia="仿宋_GB2312" w:cs="仿宋_GB2312"/>
          <w:color w:val="auto"/>
          <w:sz w:val="32"/>
          <w:szCs w:val="32"/>
          <w:highlight w:val="none"/>
        </w:rPr>
        <w:t>。</w:t>
      </w:r>
    </w:p>
    <w:p w14:paraId="64CBD29A">
      <w:pPr>
        <w:jc w:val="center"/>
        <w:rPr>
          <w:rFonts w:ascii="黑体" w:hAnsi="宋体" w:eastAsia="黑体" w:cs="黑体"/>
          <w:color w:val="auto"/>
          <w:sz w:val="32"/>
          <w:szCs w:val="32"/>
          <w:highlight w:val="none"/>
        </w:rPr>
      </w:pPr>
      <w:r>
        <w:rPr>
          <w:rFonts w:hint="eastAsia" w:ascii="黑体" w:hAnsi="宋体" w:eastAsia="黑体" w:cs="黑体"/>
          <w:color w:val="auto"/>
          <w:sz w:val="32"/>
          <w:szCs w:val="32"/>
          <w:highlight w:val="none"/>
        </w:rPr>
        <w:t>表</w:t>
      </w:r>
      <w:r>
        <w:rPr>
          <w:rFonts w:hint="eastAsia" w:ascii="黑体" w:hAnsi="宋体" w:eastAsia="黑体" w:cs="黑体"/>
          <w:color w:val="auto"/>
          <w:sz w:val="32"/>
          <w:szCs w:val="32"/>
          <w:highlight w:val="none"/>
          <w:lang w:val="en-US" w:eastAsia="zh-CN"/>
        </w:rPr>
        <w:t>六</w:t>
      </w:r>
      <w:r>
        <w:rPr>
          <w:rFonts w:hint="eastAsia" w:ascii="黑体" w:hAnsi="宋体" w:eastAsia="黑体" w:cs="黑体"/>
          <w:color w:val="auto"/>
          <w:sz w:val="32"/>
          <w:szCs w:val="32"/>
          <w:highlight w:val="none"/>
        </w:rPr>
        <w:t>：合作银行</w:t>
      </w:r>
      <w:r>
        <w:rPr>
          <w:rFonts w:hint="eastAsia" w:ascii="黑体" w:hAnsi="宋体" w:eastAsia="黑体" w:cs="黑体"/>
          <w:color w:val="auto"/>
          <w:sz w:val="32"/>
          <w:szCs w:val="32"/>
          <w:highlight w:val="none"/>
          <w:lang w:val="en-US" w:eastAsia="zh-CN"/>
        </w:rPr>
        <w:t>分险</w:t>
      </w:r>
      <w:r>
        <w:rPr>
          <w:rFonts w:hint="eastAsia" w:ascii="黑体" w:hAnsi="宋体" w:eastAsia="黑体" w:cs="黑体"/>
          <w:color w:val="auto"/>
          <w:sz w:val="32"/>
          <w:szCs w:val="32"/>
          <w:highlight w:val="none"/>
        </w:rPr>
        <w:t>业务统计表</w:t>
      </w:r>
    </w:p>
    <w:p w14:paraId="17D10A5A">
      <w:pPr>
        <w:numPr>
          <w:ilvl w:val="0"/>
          <w:numId w:val="0"/>
        </w:numPr>
        <w:ind w:left="160" w:leftChars="0"/>
        <w:rPr>
          <w:rFonts w:hint="eastAsia" w:ascii="仿宋_GB2312" w:hAnsi="仿宋_GB2312" w:eastAsia="仿宋_GB2312" w:cs="仿宋_GB2312"/>
          <w:color w:val="auto"/>
          <w:sz w:val="32"/>
          <w:szCs w:val="32"/>
          <w:highlight w:val="none"/>
          <w:lang w:val="en-US" w:eastAsia="zh-CN"/>
        </w:rPr>
      </w:pPr>
    </w:p>
    <w:p w14:paraId="5F446B05">
      <w:pPr>
        <w:numPr>
          <w:ilvl w:val="0"/>
          <w:numId w:val="0"/>
        </w:numPr>
        <w:ind w:left="160" w:leftChars="0"/>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24"/>
          <w:highlight w:val="none"/>
          <w:lang w:eastAsia="zh-CN"/>
        </w:rPr>
        <w:t>金额单位：万元</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3"/>
        <w:gridCol w:w="1912"/>
        <w:gridCol w:w="2323"/>
        <w:gridCol w:w="2324"/>
      </w:tblGrid>
      <w:tr w14:paraId="0C3A2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A44EBFD">
            <w:pPr>
              <w:keepNext w:val="0"/>
              <w:keepLines w:val="0"/>
              <w:widowControl/>
              <w:suppressLineNumbers w:val="0"/>
              <w:jc w:val="center"/>
              <w:rPr>
                <w:rFonts w:hint="eastAsia" w:ascii="仿宋_GB2312" w:hAnsi="仿宋_GB2312" w:eastAsia="仿宋_GB2312" w:cs="仿宋_GB2312"/>
                <w:color w:val="auto"/>
                <w:kern w:val="0"/>
                <w:szCs w:val="21"/>
                <w:highlight w:val="none"/>
                <w:vertAlign w:val="baseline"/>
              </w:rPr>
            </w:pPr>
            <w:r>
              <w:rPr>
                <w:rFonts w:ascii="宋体" w:hAnsi="宋体" w:eastAsia="宋体" w:cs="宋体"/>
                <w:b/>
                <w:bCs/>
                <w:kern w:val="0"/>
                <w:sz w:val="24"/>
                <w:szCs w:val="24"/>
                <w:lang w:val="en-US" w:eastAsia="zh-CN" w:bidi="ar"/>
              </w:rPr>
              <w:t>序号</w:t>
            </w:r>
          </w:p>
        </w:tc>
        <w:tc>
          <w:tcPr>
            <w:tcW w:w="2130" w:type="dxa"/>
            <w:vAlign w:val="center"/>
          </w:tcPr>
          <w:p w14:paraId="2C79A003">
            <w:pPr>
              <w:keepNext w:val="0"/>
              <w:keepLines w:val="0"/>
              <w:widowControl/>
              <w:suppressLineNumbers w:val="0"/>
              <w:jc w:val="center"/>
              <w:rPr>
                <w:rFonts w:hint="eastAsia" w:ascii="仿宋_GB2312" w:hAnsi="仿宋_GB2312" w:eastAsia="仿宋_GB2312" w:cs="仿宋_GB2312"/>
                <w:color w:val="auto"/>
                <w:kern w:val="0"/>
                <w:szCs w:val="21"/>
                <w:highlight w:val="none"/>
                <w:vertAlign w:val="baseline"/>
              </w:rPr>
            </w:pPr>
            <w:r>
              <w:rPr>
                <w:rFonts w:ascii="宋体" w:hAnsi="宋体" w:eastAsia="宋体" w:cs="宋体"/>
                <w:b/>
                <w:bCs/>
                <w:kern w:val="0"/>
                <w:sz w:val="24"/>
                <w:szCs w:val="24"/>
                <w:lang w:val="en-US" w:eastAsia="zh-CN" w:bidi="ar"/>
              </w:rPr>
              <w:t>合作银行简称</w:t>
            </w:r>
          </w:p>
        </w:tc>
        <w:tc>
          <w:tcPr>
            <w:tcW w:w="2131" w:type="dxa"/>
            <w:vAlign w:val="center"/>
          </w:tcPr>
          <w:p w14:paraId="53E013B6">
            <w:pPr>
              <w:keepNext w:val="0"/>
              <w:keepLines w:val="0"/>
              <w:widowControl/>
              <w:suppressLineNumbers w:val="0"/>
              <w:jc w:val="center"/>
              <w:rPr>
                <w:rFonts w:hint="eastAsia" w:ascii="仿宋_GB2312" w:hAnsi="仿宋_GB2312" w:eastAsia="仿宋_GB2312" w:cs="仿宋_GB2312"/>
                <w:color w:val="auto"/>
                <w:kern w:val="0"/>
                <w:szCs w:val="21"/>
                <w:highlight w:val="none"/>
                <w:vertAlign w:val="baseline"/>
              </w:rPr>
            </w:pPr>
            <w:r>
              <w:rPr>
                <w:rFonts w:ascii="宋体" w:hAnsi="宋体" w:eastAsia="宋体" w:cs="宋体"/>
                <w:b/>
                <w:bCs/>
                <w:kern w:val="0"/>
                <w:sz w:val="24"/>
                <w:szCs w:val="24"/>
                <w:lang w:val="en-US" w:eastAsia="zh-CN" w:bidi="ar"/>
              </w:rPr>
              <w:t>业务规模</w:t>
            </w:r>
          </w:p>
        </w:tc>
        <w:tc>
          <w:tcPr>
            <w:tcW w:w="2131" w:type="dxa"/>
            <w:vAlign w:val="center"/>
          </w:tcPr>
          <w:p w14:paraId="3CFE7A9B">
            <w:pPr>
              <w:keepNext w:val="0"/>
              <w:keepLines w:val="0"/>
              <w:widowControl/>
              <w:suppressLineNumbers w:val="0"/>
              <w:jc w:val="center"/>
              <w:rPr>
                <w:rFonts w:hint="eastAsia" w:ascii="仿宋_GB2312" w:hAnsi="仿宋_GB2312" w:eastAsia="仿宋_GB2312" w:cs="仿宋_GB2312"/>
                <w:color w:val="auto"/>
                <w:kern w:val="0"/>
                <w:szCs w:val="21"/>
                <w:highlight w:val="none"/>
                <w:vertAlign w:val="baseline"/>
              </w:rPr>
            </w:pPr>
            <w:r>
              <w:rPr>
                <w:rFonts w:ascii="宋体" w:hAnsi="宋体" w:eastAsia="宋体" w:cs="宋体"/>
                <w:b/>
                <w:bCs/>
                <w:kern w:val="0"/>
                <w:sz w:val="24"/>
                <w:szCs w:val="24"/>
                <w:lang w:val="en-US" w:eastAsia="zh-CN" w:bidi="ar"/>
              </w:rPr>
              <w:t>规模占比</w:t>
            </w:r>
          </w:p>
        </w:tc>
      </w:tr>
      <w:tr w14:paraId="3F818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6ECD81C">
            <w:pPr>
              <w:keepNext w:val="0"/>
              <w:keepLines w:val="0"/>
              <w:widowControl/>
              <w:suppressLineNumbers w:val="0"/>
              <w:jc w:val="left"/>
              <w:rPr>
                <w:rFonts w:hint="eastAsia" w:ascii="仿宋_GB2312" w:hAnsi="仿宋_GB2312" w:eastAsia="仿宋_GB2312" w:cs="仿宋_GB2312"/>
                <w:color w:val="auto"/>
                <w:kern w:val="0"/>
                <w:szCs w:val="21"/>
                <w:highlight w:val="none"/>
                <w:vertAlign w:val="baseline"/>
              </w:rPr>
            </w:pPr>
            <w:r>
              <w:rPr>
                <w:rFonts w:ascii="宋体" w:hAnsi="宋体" w:eastAsia="宋体" w:cs="宋体"/>
                <w:kern w:val="0"/>
                <w:sz w:val="24"/>
                <w:szCs w:val="24"/>
                <w:lang w:val="en-US" w:eastAsia="zh-CN" w:bidi="ar"/>
              </w:rPr>
              <w:t>（一）</w:t>
            </w:r>
          </w:p>
        </w:tc>
        <w:tc>
          <w:tcPr>
            <w:tcW w:w="2130" w:type="dxa"/>
            <w:vAlign w:val="center"/>
          </w:tcPr>
          <w:p w14:paraId="010C1977">
            <w:pPr>
              <w:keepNext w:val="0"/>
              <w:keepLines w:val="0"/>
              <w:widowControl/>
              <w:suppressLineNumbers w:val="0"/>
              <w:jc w:val="left"/>
              <w:rPr>
                <w:rFonts w:hint="eastAsia" w:ascii="仿宋_GB2312" w:hAnsi="仿宋_GB2312" w:eastAsia="仿宋_GB2312" w:cs="仿宋_GB2312"/>
                <w:color w:val="auto"/>
                <w:kern w:val="0"/>
                <w:szCs w:val="21"/>
                <w:highlight w:val="none"/>
                <w:vertAlign w:val="baseline"/>
              </w:rPr>
            </w:pPr>
            <w:r>
              <w:rPr>
                <w:rFonts w:ascii="宋体" w:hAnsi="宋体" w:eastAsia="宋体" w:cs="宋体"/>
                <w:kern w:val="0"/>
                <w:sz w:val="24"/>
                <w:szCs w:val="24"/>
                <w:lang w:val="en-US" w:eastAsia="zh-CN" w:bidi="ar"/>
              </w:rPr>
              <w:t>全国性银行</w:t>
            </w:r>
          </w:p>
        </w:tc>
        <w:tc>
          <w:tcPr>
            <w:tcW w:w="2131" w:type="dxa"/>
            <w:vAlign w:val="center"/>
          </w:tcPr>
          <w:p w14:paraId="6E9FCA3D">
            <w:pPr>
              <w:keepNext w:val="0"/>
              <w:keepLines w:val="0"/>
              <w:widowControl/>
              <w:suppressLineNumbers w:val="0"/>
              <w:jc w:val="left"/>
              <w:rPr>
                <w:rFonts w:hint="eastAsia" w:ascii="仿宋_GB2312" w:hAnsi="仿宋_GB2312" w:eastAsia="仿宋_GB2312" w:cs="仿宋_GB2312"/>
                <w:color w:val="auto"/>
                <w:kern w:val="0"/>
                <w:szCs w:val="21"/>
                <w:highlight w:val="none"/>
                <w:vertAlign w:val="baseline"/>
              </w:rPr>
            </w:pPr>
            <w:r>
              <w:rPr>
                <w:rFonts w:ascii="宋体" w:hAnsi="宋体" w:eastAsia="宋体" w:cs="宋体"/>
                <w:kern w:val="0"/>
                <w:sz w:val="24"/>
                <w:szCs w:val="24"/>
                <w:lang w:val="en-US" w:eastAsia="zh-CN" w:bidi="ar"/>
              </w:rPr>
              <w:t>{{bank_risk_table_national.total_amount}}</w:t>
            </w:r>
          </w:p>
        </w:tc>
        <w:tc>
          <w:tcPr>
            <w:tcW w:w="2131" w:type="dxa"/>
            <w:vAlign w:val="center"/>
          </w:tcPr>
          <w:p w14:paraId="085939AB">
            <w:pPr>
              <w:keepNext w:val="0"/>
              <w:keepLines w:val="0"/>
              <w:widowControl/>
              <w:suppressLineNumbers w:val="0"/>
              <w:jc w:val="left"/>
              <w:rPr>
                <w:rFonts w:hint="eastAsia" w:ascii="仿宋_GB2312" w:hAnsi="仿宋_GB2312" w:eastAsia="仿宋_GB2312" w:cs="仿宋_GB2312"/>
                <w:color w:val="auto"/>
                <w:kern w:val="0"/>
                <w:szCs w:val="21"/>
                <w:highlight w:val="none"/>
                <w:vertAlign w:val="baseline"/>
              </w:rPr>
            </w:pPr>
            <w:r>
              <w:rPr>
                <w:rFonts w:ascii="宋体" w:hAnsi="宋体" w:eastAsia="宋体" w:cs="宋体"/>
                <w:kern w:val="0"/>
                <w:sz w:val="24"/>
                <w:szCs w:val="24"/>
                <w:lang w:val="en-US" w:eastAsia="zh-CN" w:bidi="ar"/>
              </w:rPr>
              <w:t>{{bank_risk_table_national.total_ratio}}%</w:t>
            </w:r>
          </w:p>
        </w:tc>
      </w:tr>
      <w:tr w14:paraId="7996E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3361CAA">
            <w:pPr>
              <w:keepNext w:val="0"/>
              <w:keepLines w:val="0"/>
              <w:widowControl/>
              <w:suppressLineNumbers w:val="0"/>
              <w:jc w:val="left"/>
              <w:rPr>
                <w:rFonts w:hint="eastAsia" w:ascii="仿宋_GB2312" w:hAnsi="仿宋_GB2312" w:eastAsia="仿宋_GB2312" w:cs="仿宋_GB2312"/>
                <w:color w:val="auto"/>
                <w:kern w:val="0"/>
                <w:szCs w:val="21"/>
                <w:highlight w:val="none"/>
                <w:vertAlign w:val="baseline"/>
              </w:rPr>
            </w:pPr>
            <w:r>
              <w:rPr>
                <w:rFonts w:ascii="宋体" w:hAnsi="宋体" w:eastAsia="宋体" w:cs="宋体"/>
                <w:kern w:val="0"/>
                <w:sz w:val="24"/>
                <w:szCs w:val="24"/>
                <w:lang w:val="en-US" w:eastAsia="zh-CN" w:bidi="ar"/>
              </w:rPr>
              <w:t>{{bank_risk_table_national.index}}</w:t>
            </w:r>
          </w:p>
        </w:tc>
        <w:tc>
          <w:tcPr>
            <w:tcW w:w="2130" w:type="dxa"/>
            <w:vAlign w:val="center"/>
          </w:tcPr>
          <w:p w14:paraId="73FDF3F1">
            <w:pPr>
              <w:keepNext w:val="0"/>
              <w:keepLines w:val="0"/>
              <w:widowControl/>
              <w:suppressLineNumbers w:val="0"/>
              <w:jc w:val="left"/>
              <w:rPr>
                <w:rFonts w:hint="eastAsia" w:ascii="仿宋_GB2312" w:hAnsi="仿宋_GB2312" w:eastAsia="仿宋_GB2312" w:cs="仿宋_GB2312"/>
                <w:color w:val="auto"/>
                <w:kern w:val="0"/>
                <w:szCs w:val="21"/>
                <w:highlight w:val="none"/>
                <w:vertAlign w:val="baseline"/>
              </w:rPr>
            </w:pPr>
            <w:r>
              <w:rPr>
                <w:rFonts w:ascii="宋体" w:hAnsi="宋体" w:eastAsia="宋体" w:cs="宋体"/>
                <w:kern w:val="0"/>
                <w:sz w:val="24"/>
                <w:szCs w:val="24"/>
                <w:lang w:val="en-US" w:eastAsia="zh-CN" w:bidi="ar"/>
              </w:rPr>
              <w:t>{{bank_risk_table_national.name}}</w:t>
            </w:r>
          </w:p>
        </w:tc>
        <w:tc>
          <w:tcPr>
            <w:tcW w:w="2131" w:type="dxa"/>
            <w:vAlign w:val="center"/>
          </w:tcPr>
          <w:p w14:paraId="3CA79712">
            <w:pPr>
              <w:keepNext w:val="0"/>
              <w:keepLines w:val="0"/>
              <w:widowControl/>
              <w:suppressLineNumbers w:val="0"/>
              <w:jc w:val="left"/>
              <w:rPr>
                <w:rFonts w:hint="eastAsia" w:ascii="仿宋_GB2312" w:hAnsi="仿宋_GB2312" w:eastAsia="仿宋_GB2312" w:cs="仿宋_GB2312"/>
                <w:color w:val="auto"/>
                <w:kern w:val="0"/>
                <w:szCs w:val="21"/>
                <w:highlight w:val="none"/>
                <w:vertAlign w:val="baseline"/>
              </w:rPr>
            </w:pPr>
            <w:r>
              <w:rPr>
                <w:rFonts w:ascii="宋体" w:hAnsi="宋体" w:eastAsia="宋体" w:cs="宋体"/>
                <w:kern w:val="0"/>
                <w:sz w:val="24"/>
                <w:szCs w:val="24"/>
                <w:lang w:val="en-US" w:eastAsia="zh-CN" w:bidi="ar"/>
              </w:rPr>
              <w:t>{{bank_risk_table_national.amount}}</w:t>
            </w:r>
          </w:p>
        </w:tc>
        <w:tc>
          <w:tcPr>
            <w:tcW w:w="2131" w:type="dxa"/>
            <w:vAlign w:val="center"/>
          </w:tcPr>
          <w:p w14:paraId="159E3A5B">
            <w:pPr>
              <w:keepNext w:val="0"/>
              <w:keepLines w:val="0"/>
              <w:widowControl/>
              <w:suppressLineNumbers w:val="0"/>
              <w:jc w:val="left"/>
              <w:rPr>
                <w:rFonts w:hint="eastAsia" w:ascii="仿宋_GB2312" w:hAnsi="仿宋_GB2312" w:eastAsia="仿宋_GB2312" w:cs="仿宋_GB2312"/>
                <w:color w:val="auto"/>
                <w:kern w:val="0"/>
                <w:szCs w:val="21"/>
                <w:highlight w:val="none"/>
                <w:vertAlign w:val="baseline"/>
              </w:rPr>
            </w:pPr>
            <w:r>
              <w:rPr>
                <w:rFonts w:ascii="宋体" w:hAnsi="宋体" w:eastAsia="宋体" w:cs="宋体"/>
                <w:kern w:val="0"/>
                <w:sz w:val="24"/>
                <w:szCs w:val="24"/>
                <w:lang w:val="en-US" w:eastAsia="zh-CN" w:bidi="ar"/>
              </w:rPr>
              <w:t>{{bank_risk_table_national.ratio}}%</w:t>
            </w:r>
          </w:p>
        </w:tc>
      </w:tr>
      <w:tr w14:paraId="5E1CE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B334C63">
            <w:pPr>
              <w:keepNext w:val="0"/>
              <w:keepLines w:val="0"/>
              <w:widowControl/>
              <w:suppressLineNumbers w:val="0"/>
              <w:jc w:val="left"/>
              <w:rPr>
                <w:rFonts w:hint="eastAsia" w:ascii="仿宋_GB2312" w:hAnsi="仿宋_GB2312" w:eastAsia="仿宋_GB2312" w:cs="仿宋_GB2312"/>
                <w:color w:val="auto"/>
                <w:kern w:val="0"/>
                <w:szCs w:val="21"/>
                <w:highlight w:val="none"/>
                <w:vertAlign w:val="baseline"/>
              </w:rPr>
            </w:pPr>
            <w:r>
              <w:rPr>
                <w:rFonts w:ascii="宋体" w:hAnsi="宋体" w:eastAsia="宋体" w:cs="宋体"/>
                <w:kern w:val="0"/>
                <w:sz w:val="24"/>
                <w:szCs w:val="24"/>
                <w:lang w:val="en-US" w:eastAsia="zh-CN" w:bidi="ar"/>
              </w:rPr>
              <w:t>（二）</w:t>
            </w:r>
          </w:p>
        </w:tc>
        <w:tc>
          <w:tcPr>
            <w:tcW w:w="2130" w:type="dxa"/>
            <w:vAlign w:val="center"/>
          </w:tcPr>
          <w:p w14:paraId="6ABA54E7">
            <w:pPr>
              <w:keepNext w:val="0"/>
              <w:keepLines w:val="0"/>
              <w:widowControl/>
              <w:suppressLineNumbers w:val="0"/>
              <w:jc w:val="left"/>
              <w:rPr>
                <w:rFonts w:hint="eastAsia" w:ascii="仿宋_GB2312" w:hAnsi="仿宋_GB2312" w:eastAsia="仿宋_GB2312" w:cs="仿宋_GB2312"/>
                <w:color w:val="auto"/>
                <w:kern w:val="0"/>
                <w:szCs w:val="21"/>
                <w:highlight w:val="none"/>
                <w:vertAlign w:val="baseline"/>
              </w:rPr>
            </w:pPr>
            <w:r>
              <w:rPr>
                <w:rFonts w:ascii="宋体" w:hAnsi="宋体" w:eastAsia="宋体" w:cs="宋体"/>
                <w:kern w:val="0"/>
                <w:sz w:val="24"/>
                <w:szCs w:val="24"/>
                <w:lang w:val="en-US" w:eastAsia="zh-CN" w:bidi="ar"/>
              </w:rPr>
              <w:t>地方性银行</w:t>
            </w:r>
          </w:p>
        </w:tc>
        <w:tc>
          <w:tcPr>
            <w:tcW w:w="2131" w:type="dxa"/>
            <w:vAlign w:val="center"/>
          </w:tcPr>
          <w:p w14:paraId="673EDC6F">
            <w:pPr>
              <w:keepNext w:val="0"/>
              <w:keepLines w:val="0"/>
              <w:widowControl/>
              <w:suppressLineNumbers w:val="0"/>
              <w:jc w:val="left"/>
              <w:rPr>
                <w:rFonts w:hint="eastAsia" w:ascii="仿宋_GB2312" w:hAnsi="仿宋_GB2312" w:eastAsia="仿宋_GB2312" w:cs="仿宋_GB2312"/>
                <w:color w:val="auto"/>
                <w:kern w:val="0"/>
                <w:szCs w:val="21"/>
                <w:highlight w:val="none"/>
                <w:vertAlign w:val="baseline"/>
              </w:rPr>
            </w:pPr>
            <w:r>
              <w:rPr>
                <w:rFonts w:ascii="宋体" w:hAnsi="宋体" w:eastAsia="宋体" w:cs="宋体"/>
                <w:kern w:val="0"/>
                <w:sz w:val="24"/>
                <w:szCs w:val="24"/>
                <w:lang w:val="en-US" w:eastAsia="zh-CN" w:bidi="ar"/>
              </w:rPr>
              <w:t>{{bank_risk_table_local.total_amount}}</w:t>
            </w:r>
          </w:p>
        </w:tc>
        <w:tc>
          <w:tcPr>
            <w:tcW w:w="2131" w:type="dxa"/>
            <w:vAlign w:val="center"/>
          </w:tcPr>
          <w:p w14:paraId="7BBADA74">
            <w:pPr>
              <w:keepNext w:val="0"/>
              <w:keepLines w:val="0"/>
              <w:widowControl/>
              <w:suppressLineNumbers w:val="0"/>
              <w:jc w:val="left"/>
              <w:rPr>
                <w:rFonts w:hint="eastAsia" w:ascii="仿宋_GB2312" w:hAnsi="仿宋_GB2312" w:eastAsia="仿宋_GB2312" w:cs="仿宋_GB2312"/>
                <w:color w:val="auto"/>
                <w:kern w:val="0"/>
                <w:szCs w:val="21"/>
                <w:highlight w:val="none"/>
                <w:vertAlign w:val="baseline"/>
              </w:rPr>
            </w:pPr>
            <w:r>
              <w:rPr>
                <w:rFonts w:ascii="宋体" w:hAnsi="宋体" w:eastAsia="宋体" w:cs="宋体"/>
                <w:kern w:val="0"/>
                <w:sz w:val="24"/>
                <w:szCs w:val="24"/>
                <w:lang w:val="en-US" w:eastAsia="zh-CN" w:bidi="ar"/>
              </w:rPr>
              <w:t>{{bank_risk_table_local.total_ratio}}%</w:t>
            </w:r>
          </w:p>
        </w:tc>
      </w:tr>
      <w:tr w14:paraId="3025E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B9A9FEB">
            <w:pPr>
              <w:keepNext w:val="0"/>
              <w:keepLines w:val="0"/>
              <w:widowControl/>
              <w:suppressLineNumbers w:val="0"/>
              <w:jc w:val="left"/>
              <w:rPr>
                <w:rFonts w:hint="eastAsia" w:ascii="仿宋_GB2312" w:hAnsi="仿宋_GB2312" w:eastAsia="仿宋_GB2312" w:cs="仿宋_GB2312"/>
                <w:color w:val="auto"/>
                <w:kern w:val="0"/>
                <w:szCs w:val="21"/>
                <w:highlight w:val="none"/>
                <w:vertAlign w:val="baseline"/>
              </w:rPr>
            </w:pPr>
            <w:r>
              <w:rPr>
                <w:rFonts w:ascii="宋体" w:hAnsi="宋体" w:eastAsia="宋体" w:cs="宋体"/>
                <w:kern w:val="0"/>
                <w:sz w:val="24"/>
                <w:szCs w:val="24"/>
                <w:lang w:val="en-US" w:eastAsia="zh-CN" w:bidi="ar"/>
              </w:rPr>
              <w:t>{{bank_risk_table_local.index}}</w:t>
            </w:r>
          </w:p>
        </w:tc>
        <w:tc>
          <w:tcPr>
            <w:tcW w:w="2130" w:type="dxa"/>
            <w:vAlign w:val="center"/>
          </w:tcPr>
          <w:p w14:paraId="2A9D29FF">
            <w:pPr>
              <w:keepNext w:val="0"/>
              <w:keepLines w:val="0"/>
              <w:widowControl/>
              <w:suppressLineNumbers w:val="0"/>
              <w:jc w:val="left"/>
              <w:rPr>
                <w:rFonts w:hint="eastAsia" w:ascii="仿宋_GB2312" w:hAnsi="仿宋_GB2312" w:eastAsia="仿宋_GB2312" w:cs="仿宋_GB2312"/>
                <w:color w:val="auto"/>
                <w:kern w:val="0"/>
                <w:szCs w:val="21"/>
                <w:highlight w:val="none"/>
                <w:vertAlign w:val="baseline"/>
              </w:rPr>
            </w:pPr>
            <w:r>
              <w:rPr>
                <w:rFonts w:ascii="宋体" w:hAnsi="宋体" w:eastAsia="宋体" w:cs="宋体"/>
                <w:kern w:val="0"/>
                <w:sz w:val="24"/>
                <w:szCs w:val="24"/>
                <w:lang w:val="en-US" w:eastAsia="zh-CN" w:bidi="ar"/>
              </w:rPr>
              <w:t>{{bank_risk_table_local.name}}</w:t>
            </w:r>
          </w:p>
        </w:tc>
        <w:tc>
          <w:tcPr>
            <w:tcW w:w="2131" w:type="dxa"/>
            <w:vAlign w:val="center"/>
          </w:tcPr>
          <w:p w14:paraId="500799FD">
            <w:pPr>
              <w:keepNext w:val="0"/>
              <w:keepLines w:val="0"/>
              <w:widowControl/>
              <w:suppressLineNumbers w:val="0"/>
              <w:jc w:val="left"/>
              <w:rPr>
                <w:rFonts w:hint="eastAsia" w:ascii="仿宋_GB2312" w:hAnsi="仿宋_GB2312" w:eastAsia="仿宋_GB2312" w:cs="仿宋_GB2312"/>
                <w:color w:val="auto"/>
                <w:kern w:val="0"/>
                <w:szCs w:val="21"/>
                <w:highlight w:val="none"/>
                <w:vertAlign w:val="baseline"/>
              </w:rPr>
            </w:pPr>
            <w:r>
              <w:rPr>
                <w:rFonts w:ascii="宋体" w:hAnsi="宋体" w:eastAsia="宋体" w:cs="宋体"/>
                <w:kern w:val="0"/>
                <w:sz w:val="24"/>
                <w:szCs w:val="24"/>
                <w:lang w:val="en-US" w:eastAsia="zh-CN" w:bidi="ar"/>
              </w:rPr>
              <w:t>{{bank_risk_table_local.amount}}</w:t>
            </w:r>
          </w:p>
        </w:tc>
        <w:tc>
          <w:tcPr>
            <w:tcW w:w="2131" w:type="dxa"/>
            <w:vAlign w:val="center"/>
          </w:tcPr>
          <w:p w14:paraId="151DF05D">
            <w:pPr>
              <w:keepNext w:val="0"/>
              <w:keepLines w:val="0"/>
              <w:widowControl/>
              <w:suppressLineNumbers w:val="0"/>
              <w:jc w:val="left"/>
              <w:rPr>
                <w:rFonts w:hint="eastAsia" w:ascii="仿宋_GB2312" w:hAnsi="仿宋_GB2312" w:eastAsia="仿宋_GB2312" w:cs="仿宋_GB2312"/>
                <w:color w:val="auto"/>
                <w:kern w:val="0"/>
                <w:szCs w:val="21"/>
                <w:highlight w:val="none"/>
                <w:vertAlign w:val="baseline"/>
              </w:rPr>
            </w:pPr>
            <w:r>
              <w:rPr>
                <w:rFonts w:ascii="宋体" w:hAnsi="宋体" w:eastAsia="宋体" w:cs="宋体"/>
                <w:kern w:val="0"/>
                <w:sz w:val="24"/>
                <w:szCs w:val="24"/>
                <w:lang w:val="en-US" w:eastAsia="zh-CN" w:bidi="ar"/>
              </w:rPr>
              <w:t>{{bank_risk_table_local.ratio}}%</w:t>
            </w:r>
          </w:p>
        </w:tc>
      </w:tr>
    </w:tbl>
    <w:p w14:paraId="79604619">
      <w:pPr>
        <w:rPr>
          <w:rFonts w:hint="eastAsia" w:ascii="仿宋_GB2312" w:hAnsi="仿宋_GB2312" w:eastAsia="仿宋_GB2312" w:cs="仿宋_GB2312"/>
          <w:color w:val="auto"/>
          <w:kern w:val="0"/>
          <w:szCs w:val="21"/>
          <w:highlight w:val="none"/>
        </w:rPr>
      </w:pPr>
    </w:p>
    <w:p w14:paraId="153FDFAF">
      <w:pPr>
        <w:ind w:firstLine="420" w:firstLineChars="200"/>
        <w:rPr>
          <w:rFonts w:hint="eastAsia" w:ascii="仿宋_GB2312" w:hAnsi="仿宋_GB2312" w:eastAsia="仿宋_GB2312" w:cs="仿宋_GB2312"/>
          <w:color w:val="auto"/>
          <w:kern w:val="0"/>
          <w:szCs w:val="21"/>
          <w:highlight w:val="none"/>
        </w:rPr>
      </w:pPr>
      <w:r>
        <w:rPr>
          <w:rFonts w:hint="eastAsia" w:ascii="仿宋_GB2312" w:hAnsi="仿宋_GB2312" w:eastAsia="仿宋_GB2312" w:cs="仿宋_GB2312"/>
          <w:color w:val="auto"/>
          <w:kern w:val="0"/>
          <w:szCs w:val="21"/>
          <w:highlight w:val="none"/>
        </w:rPr>
        <w:t>备注：1.合作银行按</w:t>
      </w:r>
      <w:r>
        <w:rPr>
          <w:rFonts w:hint="eastAsia" w:ascii="仿宋_GB2312" w:hAnsi="仿宋_GB2312" w:eastAsia="仿宋_GB2312" w:cs="仿宋_GB2312"/>
          <w:color w:val="auto"/>
          <w:kern w:val="0"/>
          <w:szCs w:val="21"/>
          <w:highlight w:val="none"/>
          <w:lang w:eastAsia="zh-CN"/>
        </w:rPr>
        <w:t>上半年</w:t>
      </w:r>
      <w:r>
        <w:rPr>
          <w:rFonts w:hint="eastAsia" w:ascii="仿宋_GB2312" w:hAnsi="仿宋_GB2312" w:eastAsia="仿宋_GB2312" w:cs="仿宋_GB2312"/>
          <w:color w:val="auto"/>
          <w:kern w:val="0"/>
          <w:szCs w:val="21"/>
          <w:highlight w:val="none"/>
        </w:rPr>
        <w:t>合作业务规模降序排列</w:t>
      </w:r>
    </w:p>
    <w:p w14:paraId="04EF675D">
      <w:pPr>
        <w:ind w:firstLine="1050" w:firstLineChars="500"/>
        <w:rPr>
          <w:rFonts w:hint="eastAsia" w:ascii="仿宋_GB2312" w:hAnsi="仿宋_GB2312" w:eastAsia="仿宋_GB2312" w:cs="仿宋_GB2312"/>
          <w:color w:val="auto"/>
          <w:kern w:val="0"/>
          <w:szCs w:val="21"/>
          <w:highlight w:val="none"/>
        </w:rPr>
      </w:pPr>
      <w:r>
        <w:rPr>
          <w:rFonts w:hint="eastAsia" w:ascii="仿宋_GB2312" w:hAnsi="仿宋_GB2312" w:eastAsia="仿宋_GB2312" w:cs="仿宋_GB2312"/>
          <w:color w:val="auto"/>
          <w:kern w:val="0"/>
          <w:szCs w:val="21"/>
          <w:highlight w:val="none"/>
        </w:rPr>
        <w:t>2.规模占比=各合作银行合作业务规模/体系合作业务总规模 *100%</w:t>
      </w:r>
    </w:p>
    <w:p w14:paraId="50800AF8">
      <w:pPr>
        <w:ind w:firstLine="640" w:firstLineChars="200"/>
        <w:rPr>
          <w:rFonts w:hint="eastAsia" w:ascii="仿宋_GB2312" w:hAnsi="仿宋_GB2312" w:eastAsia="仿宋_GB2312" w:cs="仿宋_GB2312"/>
          <w:color w:val="auto"/>
          <w:sz w:val="32"/>
          <w:szCs w:val="32"/>
          <w:highlight w:val="none"/>
        </w:rPr>
      </w:pPr>
      <w:r>
        <w:rPr>
          <w:rFonts w:hint="eastAsia" w:ascii="楷体" w:hAnsi="楷体" w:eastAsia="楷体" w:cs="楷体"/>
          <w:bCs/>
          <w:color w:val="auto"/>
          <w:sz w:val="32"/>
          <w:szCs w:val="32"/>
          <w:highlight w:val="none"/>
          <w:lang w:val="en-US" w:eastAsia="zh-CN"/>
        </w:rPr>
        <w:t>（三）各区域分险业务开展情况</w:t>
      </w:r>
      <w:r>
        <w:rPr>
          <w:rFonts w:hint="eastAsia" w:ascii="仿宋" w:hAnsi="仿宋" w:eastAsia="仿宋" w:cs="仿宋_GB2312"/>
          <w:color w:val="auto"/>
          <w:sz w:val="32"/>
          <w:szCs w:val="32"/>
          <w:highlight w:val="none"/>
          <w:lang w:eastAsia="zh-CN"/>
        </w:rPr>
        <w:t>。</w:t>
      </w:r>
      <w:r>
        <w:rPr>
          <w:rFonts w:hint="eastAsia" w:ascii="仿宋_GB2312" w:hAnsi="仿宋_GB2312" w:eastAsia="仿宋_GB2312" w:cs="仿宋_GB2312"/>
          <w:color w:val="auto"/>
          <w:sz w:val="32"/>
          <w:szCs w:val="32"/>
          <w:highlight w:val="none"/>
          <w:lang w:val="en-US" w:eastAsia="zh-CN"/>
        </w:rPr>
        <w:t>上半年，{{region_summary.total_cities}}个地市全部实现了银行参与分险业务落地，{{region_summary.cities_over_80pct}}个地市银行参与分险业务规模占比超过80%；{{region_summary.cities_with_growth}}个地市参与分险业务规模较上年同期有所增长，其中{{region_summary.high_growth_cities}}在推进银行参与分险业务方面取得较好成效，分险规模同比增长超过{{region_summary.growth_threshold}}个百分点</w:t>
      </w:r>
      <w:r>
        <w:rPr>
          <w:rFonts w:hint="eastAsia" w:ascii="仿宋_GB2312" w:hAnsi="仿宋_GB2312" w:eastAsia="仿宋_GB2312" w:cs="仿宋_GB2312"/>
          <w:color w:val="auto"/>
          <w:sz w:val="32"/>
          <w:szCs w:val="32"/>
          <w:highlight w:val="none"/>
        </w:rPr>
        <w:t>。详见表</w:t>
      </w:r>
      <w:r>
        <w:rPr>
          <w:rFonts w:hint="eastAsia" w:ascii="仿宋_GB2312" w:hAnsi="仿宋_GB2312" w:eastAsia="仿宋_GB2312" w:cs="仿宋_GB2312"/>
          <w:color w:val="auto"/>
          <w:sz w:val="32"/>
          <w:szCs w:val="32"/>
          <w:highlight w:val="none"/>
          <w:lang w:val="en-US" w:eastAsia="zh-CN"/>
        </w:rPr>
        <w:t>七</w:t>
      </w:r>
      <w:r>
        <w:rPr>
          <w:rFonts w:hint="eastAsia" w:ascii="仿宋_GB2312" w:hAnsi="仿宋_GB2312" w:eastAsia="仿宋_GB2312" w:cs="仿宋_GB2312"/>
          <w:color w:val="auto"/>
          <w:sz w:val="32"/>
          <w:szCs w:val="32"/>
          <w:highlight w:val="none"/>
        </w:rPr>
        <w:t>。</w:t>
      </w:r>
    </w:p>
    <w:p w14:paraId="161B73D3">
      <w:pPr>
        <w:numPr>
          <w:ilvl w:val="0"/>
          <w:numId w:val="0"/>
        </w:numPr>
        <w:ind w:left="160" w:leftChars="0"/>
        <w:rPr>
          <w:rFonts w:hint="eastAsia" w:ascii="仿宋_GB2312" w:hAnsi="仿宋_GB2312" w:eastAsia="仿宋_GB2312" w:cs="仿宋_GB2312"/>
          <w:color w:val="auto"/>
          <w:sz w:val="32"/>
          <w:szCs w:val="32"/>
          <w:highlight w:val="none"/>
          <w:lang w:val="en-US" w:eastAsia="zh-CN"/>
        </w:rPr>
      </w:pPr>
    </w:p>
    <w:p w14:paraId="50D58491">
      <w:pPr>
        <w:jc w:val="center"/>
        <w:rPr>
          <w:rFonts w:ascii="黑体" w:hAnsi="宋体" w:eastAsia="黑体" w:cs="黑体"/>
          <w:color w:val="auto"/>
          <w:sz w:val="32"/>
          <w:szCs w:val="32"/>
          <w:highlight w:val="none"/>
        </w:rPr>
      </w:pPr>
      <w:r>
        <w:rPr>
          <w:rFonts w:hint="eastAsia" w:ascii="黑体" w:hAnsi="宋体" w:eastAsia="黑体" w:cs="黑体"/>
          <w:color w:val="auto"/>
          <w:sz w:val="32"/>
          <w:szCs w:val="32"/>
          <w:highlight w:val="none"/>
        </w:rPr>
        <w:t>表</w:t>
      </w:r>
      <w:r>
        <w:rPr>
          <w:rFonts w:hint="eastAsia" w:ascii="黑体" w:hAnsi="宋体" w:eastAsia="黑体" w:cs="黑体"/>
          <w:color w:val="auto"/>
          <w:sz w:val="32"/>
          <w:szCs w:val="32"/>
          <w:highlight w:val="none"/>
          <w:lang w:val="en-US" w:eastAsia="zh-CN"/>
        </w:rPr>
        <w:t>七</w:t>
      </w:r>
      <w:r>
        <w:rPr>
          <w:rFonts w:hint="eastAsia" w:ascii="黑体" w:hAnsi="宋体" w:eastAsia="黑体" w:cs="黑体"/>
          <w:color w:val="auto"/>
          <w:sz w:val="32"/>
          <w:szCs w:val="32"/>
          <w:highlight w:val="none"/>
        </w:rPr>
        <w:t>：地市</w:t>
      </w:r>
      <w:r>
        <w:rPr>
          <w:rFonts w:hint="eastAsia" w:ascii="黑体" w:hAnsi="宋体" w:eastAsia="黑体" w:cs="黑体"/>
          <w:color w:val="auto"/>
          <w:sz w:val="32"/>
          <w:szCs w:val="32"/>
          <w:highlight w:val="none"/>
          <w:lang w:eastAsia="zh-CN"/>
        </w:rPr>
        <w:t>银行参与分险业务</w:t>
      </w:r>
      <w:r>
        <w:rPr>
          <w:rFonts w:hint="eastAsia" w:ascii="黑体" w:hAnsi="宋体" w:eastAsia="黑体" w:cs="黑体"/>
          <w:color w:val="auto"/>
          <w:sz w:val="32"/>
          <w:szCs w:val="32"/>
          <w:highlight w:val="none"/>
        </w:rPr>
        <w:t>规模统计表</w:t>
      </w:r>
    </w:p>
    <w:p w14:paraId="475AC1E2">
      <w:pPr>
        <w:numPr>
          <w:ilvl w:val="0"/>
          <w:numId w:val="0"/>
        </w:numPr>
        <w:ind w:left="160" w:leftChars="0"/>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24"/>
          <w:highlight w:val="none"/>
          <w:lang w:eastAsia="zh-CN"/>
        </w:rPr>
        <w:t>金额单位：万元</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8"/>
        <w:gridCol w:w="1297"/>
        <w:gridCol w:w="1879"/>
        <w:gridCol w:w="1796"/>
        <w:gridCol w:w="2212"/>
      </w:tblGrid>
      <w:tr w14:paraId="7988B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08D49EBF">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序号</w:t>
            </w:r>
          </w:p>
        </w:tc>
        <w:tc>
          <w:tcPr>
            <w:tcW w:w="1704" w:type="dxa"/>
            <w:vAlign w:val="center"/>
          </w:tcPr>
          <w:p w14:paraId="325DCA4C">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所属区域</w:t>
            </w:r>
          </w:p>
        </w:tc>
        <w:tc>
          <w:tcPr>
            <w:tcW w:w="1704" w:type="dxa"/>
            <w:vAlign w:val="center"/>
          </w:tcPr>
          <w:p w14:paraId="1AE87A43">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分险规模</w:t>
            </w:r>
          </w:p>
        </w:tc>
        <w:tc>
          <w:tcPr>
            <w:tcW w:w="1705" w:type="dxa"/>
            <w:vAlign w:val="center"/>
          </w:tcPr>
          <w:p w14:paraId="770BA5F8">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同比增减</w:t>
            </w:r>
          </w:p>
        </w:tc>
        <w:tc>
          <w:tcPr>
            <w:tcW w:w="1705" w:type="dxa"/>
            <w:vAlign w:val="center"/>
          </w:tcPr>
          <w:p w14:paraId="694ADBF1">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分险规模占比（%）</w:t>
            </w:r>
          </w:p>
        </w:tc>
      </w:tr>
      <w:tr w14:paraId="7ADCC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4A4E99D">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{{region_risk_table.index}}</w:t>
            </w:r>
          </w:p>
        </w:tc>
        <w:tc>
          <w:tcPr>
            <w:tcW w:w="1704" w:type="dxa"/>
            <w:vAlign w:val="center"/>
          </w:tcPr>
          <w:p w14:paraId="6D20CBE4">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{{region_risk_table.name}}</w:t>
            </w:r>
          </w:p>
        </w:tc>
        <w:tc>
          <w:tcPr>
            <w:tcW w:w="1704" w:type="dxa"/>
            <w:vAlign w:val="center"/>
          </w:tcPr>
          <w:p w14:paraId="4A5522BB">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{{region_risk_table.amount}}</w:t>
            </w:r>
          </w:p>
        </w:tc>
        <w:tc>
          <w:tcPr>
            <w:tcW w:w="1705" w:type="dxa"/>
            <w:vAlign w:val="center"/>
          </w:tcPr>
          <w:p w14:paraId="24502C47">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{{region_risk_table.yoy}}%</w:t>
            </w:r>
          </w:p>
        </w:tc>
        <w:tc>
          <w:tcPr>
            <w:tcW w:w="1705" w:type="dxa"/>
            <w:vAlign w:val="center"/>
          </w:tcPr>
          <w:p w14:paraId="3A21C681">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{{region_risk_table.share_ratio}}%</w:t>
            </w:r>
          </w:p>
        </w:tc>
      </w:tr>
      <w:tr w14:paraId="64613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42EFE82">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合计</w:t>
            </w:r>
          </w:p>
        </w:tc>
        <w:tc>
          <w:tcPr>
            <w:tcW w:w="1704" w:type="dxa"/>
            <w:vAlign w:val="center"/>
          </w:tcPr>
          <w:p w14:paraId="6DB91B0A">
            <w:pPr>
              <w:rPr>
                <w:rFonts w:hint="eastAsia" w:ascii="仿宋_GB2312" w:hAnsi="仿宋_GB2312" w:eastAsia="仿宋_GB2312" w:cs="仿宋_GB2312"/>
                <w:color w:val="auto"/>
                <w:sz w:val="32"/>
                <w:szCs w:val="32"/>
                <w:highlight w:val="none"/>
                <w:vertAlign w:val="baseline"/>
                <w:lang w:val="en-US" w:eastAsia="zh-CN"/>
              </w:rPr>
            </w:pPr>
          </w:p>
        </w:tc>
        <w:tc>
          <w:tcPr>
            <w:tcW w:w="1704" w:type="dxa"/>
            <w:vAlign w:val="center"/>
          </w:tcPr>
          <w:p w14:paraId="0BFBF088">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{{region_risk_table_total.total_amount}}</w:t>
            </w:r>
          </w:p>
        </w:tc>
        <w:tc>
          <w:tcPr>
            <w:tcW w:w="1705" w:type="dxa"/>
            <w:vAlign w:val="center"/>
          </w:tcPr>
          <w:p w14:paraId="1717379C">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{{region_risk_table_total.total_yoy}}%</w:t>
            </w:r>
          </w:p>
        </w:tc>
        <w:tc>
          <w:tcPr>
            <w:tcW w:w="1705" w:type="dxa"/>
            <w:vAlign w:val="center"/>
          </w:tcPr>
          <w:p w14:paraId="70A7EB80">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{{region_risk_table_total.overall_share_ratio}}%</w:t>
            </w:r>
          </w:p>
        </w:tc>
      </w:tr>
    </w:tbl>
    <w:p w14:paraId="76CA006A">
      <w:pPr>
        <w:rPr>
          <w:rFonts w:hint="eastAsia" w:ascii="仿宋_GB2312" w:hAnsi="仿宋_GB2312" w:eastAsia="仿宋_GB2312" w:cs="仿宋_GB2312"/>
          <w:color w:val="auto"/>
          <w:kern w:val="0"/>
          <w:szCs w:val="21"/>
          <w:highlight w:val="none"/>
        </w:rPr>
      </w:pPr>
      <w:r>
        <w:rPr>
          <w:rFonts w:hint="eastAsia" w:ascii="仿宋_GB2312" w:hAnsi="仿宋_GB2312" w:eastAsia="仿宋_GB2312" w:cs="仿宋_GB2312"/>
          <w:color w:val="auto"/>
          <w:kern w:val="0"/>
          <w:szCs w:val="21"/>
          <w:highlight w:val="none"/>
        </w:rPr>
        <w:t>备注：1.各地市按</w:t>
      </w:r>
      <w:r>
        <w:rPr>
          <w:rFonts w:hint="eastAsia" w:ascii="仿宋_GB2312" w:hAnsi="仿宋_GB2312" w:eastAsia="仿宋_GB2312" w:cs="仿宋_GB2312"/>
          <w:color w:val="auto"/>
          <w:kern w:val="0"/>
          <w:szCs w:val="21"/>
          <w:highlight w:val="none"/>
          <w:lang w:eastAsia="zh-CN"/>
        </w:rPr>
        <w:t>上半年</w:t>
      </w:r>
      <w:r>
        <w:rPr>
          <w:rFonts w:hint="eastAsia" w:ascii="仿宋_GB2312" w:hAnsi="仿宋_GB2312" w:eastAsia="仿宋_GB2312" w:cs="仿宋_GB2312"/>
          <w:color w:val="auto"/>
          <w:kern w:val="0"/>
          <w:szCs w:val="21"/>
          <w:highlight w:val="none"/>
        </w:rPr>
        <w:t>分险业务规模降序排列</w:t>
      </w:r>
    </w:p>
    <w:p w14:paraId="1A35FC39">
      <w:pPr>
        <w:ind w:firstLine="630" w:firstLineChars="300"/>
        <w:rPr>
          <w:rFonts w:hint="eastAsia" w:ascii="仿宋_GB2312" w:hAnsi="仿宋_GB2312" w:eastAsia="仿宋_GB2312" w:cs="仿宋_GB2312"/>
          <w:color w:val="auto"/>
          <w:kern w:val="0"/>
          <w:szCs w:val="21"/>
          <w:highlight w:val="none"/>
        </w:rPr>
      </w:pPr>
      <w:r>
        <w:rPr>
          <w:rFonts w:hint="eastAsia" w:ascii="仿宋_GB2312" w:hAnsi="仿宋_GB2312" w:eastAsia="仿宋_GB2312" w:cs="仿宋_GB2312"/>
          <w:color w:val="auto"/>
          <w:kern w:val="0"/>
          <w:szCs w:val="21"/>
          <w:highlight w:val="none"/>
        </w:rPr>
        <w:t>2.规模占比=各地市机构分险业务规模/各市（区）备案总规模 *100%</w:t>
      </w:r>
    </w:p>
    <w:p w14:paraId="4391121A">
      <w:pPr>
        <w:widowControl w:val="0"/>
        <w:numPr>
          <w:numId w:val="0"/>
        </w:numPr>
        <w:jc w:val="left"/>
        <w:rPr>
          <w:rFonts w:hint="eastAsia" w:ascii="黑体" w:hAnsi="宋体" w:eastAsia="黑体" w:cs="黑体"/>
          <w:color w:val="auto"/>
          <w:sz w:val="32"/>
          <w:szCs w:val="32"/>
          <w:highlight w:val="none"/>
        </w:rPr>
      </w:pPr>
    </w:p>
    <w:p w14:paraId="56EFB2F7">
      <w:pPr>
        <w:numPr>
          <w:ilvl w:val="0"/>
          <w:numId w:val="1"/>
        </w:numPr>
        <w:ind w:firstLine="640" w:firstLineChars="200"/>
        <w:jc w:val="left"/>
        <w:rPr>
          <w:rFonts w:hint="eastAsia" w:ascii="黑体" w:hAnsi="宋体" w:eastAsia="黑体" w:cs="黑体"/>
          <w:color w:val="auto"/>
          <w:sz w:val="32"/>
          <w:szCs w:val="32"/>
          <w:highlight w:val="none"/>
        </w:rPr>
      </w:pPr>
      <w:r>
        <w:rPr>
          <w:rFonts w:hint="eastAsia" w:ascii="黑体" w:hAnsi="宋体" w:eastAsia="黑体" w:cs="黑体"/>
          <w:color w:val="auto"/>
          <w:sz w:val="32"/>
          <w:szCs w:val="32"/>
          <w:highlight w:val="none"/>
          <w:lang w:val="en-US" w:eastAsia="zh-CN"/>
        </w:rPr>
        <w:t>专项业务开展</w:t>
      </w:r>
      <w:r>
        <w:rPr>
          <w:rFonts w:hint="eastAsia" w:ascii="黑体" w:hAnsi="宋体" w:eastAsia="黑体" w:cs="黑体"/>
          <w:color w:val="auto"/>
          <w:sz w:val="32"/>
          <w:szCs w:val="32"/>
          <w:highlight w:val="none"/>
        </w:rPr>
        <w:t>情况</w:t>
      </w:r>
    </w:p>
    <w:p w14:paraId="008A244D">
      <w:pPr>
        <w:ind w:firstLine="641"/>
        <w:rPr>
          <w:rFonts w:hint="eastAsia" w:ascii="楷体" w:hAnsi="楷体" w:eastAsia="楷体" w:cs="仿宋_GB2312"/>
          <w:bCs/>
          <w:color w:val="auto"/>
          <w:sz w:val="32"/>
          <w:szCs w:val="32"/>
          <w:highlight w:val="none"/>
          <w:lang w:val="en-US" w:eastAsia="zh-CN"/>
        </w:rPr>
      </w:pPr>
      <w:r>
        <w:rPr>
          <w:rFonts w:hint="eastAsia" w:ascii="楷体" w:hAnsi="楷体" w:eastAsia="楷体" w:cs="仿宋_GB2312"/>
          <w:bCs/>
          <w:color w:val="auto"/>
          <w:sz w:val="32"/>
          <w:szCs w:val="32"/>
          <w:highlight w:val="none"/>
          <w:lang w:val="en-US" w:eastAsia="zh-CN"/>
        </w:rPr>
        <w:t>（一）银担“总对总”批量业务情况。</w:t>
      </w:r>
    </w:p>
    <w:p w14:paraId="5131C025">
      <w:pPr>
        <w:ind w:firstLine="641"/>
        <w:rPr>
          <w:rFonts w:hint="eastAsia" w:ascii="仿宋_GB2312" w:hAnsi="仿宋_GB2312" w:eastAsia="仿宋_GB2312" w:cs="仿宋_GB2312"/>
          <w:color w:val="auto"/>
          <w:sz w:val="32"/>
          <w:szCs w:val="32"/>
          <w:highlight w:val="none"/>
        </w:rPr>
      </w:pPr>
      <w:r>
        <w:rPr>
          <w:rFonts w:hint="eastAsia" w:ascii="仿宋" w:hAnsi="仿宋" w:eastAsia="仿宋" w:cs="仿宋_GB2312"/>
          <w:b/>
          <w:bCs/>
          <w:color w:val="auto"/>
          <w:sz w:val="32"/>
          <w:szCs w:val="32"/>
          <w:highlight w:val="none"/>
          <w:lang w:val="en-US" w:eastAsia="zh-CN"/>
        </w:rPr>
        <w:t>1.</w:t>
      </w:r>
      <w:r>
        <w:rPr>
          <w:rFonts w:hint="eastAsia" w:ascii="仿宋" w:hAnsi="仿宋" w:eastAsia="仿宋" w:cs="仿宋_GB2312"/>
          <w:b/>
          <w:bCs/>
          <w:color w:val="auto"/>
          <w:sz w:val="32"/>
          <w:szCs w:val="32"/>
          <w:highlight w:val="yellow"/>
          <w:lang w:val="en-US" w:eastAsia="zh-CN"/>
        </w:rPr>
        <w:t>国担银担“总对总”批量业务</w:t>
      </w:r>
      <w:r>
        <w:rPr>
          <w:rFonts w:hint="eastAsia" w:ascii="仿宋" w:hAnsi="仿宋" w:eastAsia="仿宋" w:cs="仿宋_GB2312"/>
          <w:b/>
          <w:bCs/>
          <w:color w:val="auto"/>
          <w:sz w:val="32"/>
          <w:szCs w:val="32"/>
          <w:highlight w:val="none"/>
          <w:lang w:val="en-US" w:eastAsia="zh-CN"/>
        </w:rPr>
        <w:t>情况</w:t>
      </w:r>
      <w:r>
        <w:rPr>
          <w:rFonts w:hint="eastAsia" w:ascii="仿宋" w:hAnsi="仿宋" w:eastAsia="仿宋" w:cs="仿宋_GB2312"/>
          <w:color w:val="auto"/>
          <w:sz w:val="32"/>
          <w:szCs w:val="32"/>
          <w:highlight w:val="none"/>
          <w:lang w:val="en-US" w:eastAsia="zh-CN"/>
        </w:rPr>
        <w:t>。上半年，体系新增国担银担“总对总”批量担保业务{{national_zdz_summary.total_amount}}亿元。业务规模排名在前三位的担保机构分别是：{{national_zdz_top3.first_name}}{{national_zdz_top3.first_amount}}亿元、{{national_zdz_top3.second_name}}{{national_zdz_top3.second_amount}}亿元、{{national_zdz_top3.third_name}}{{national_zdz_top3.third_amount}}亿元</w:t>
      </w:r>
      <w:r>
        <w:rPr>
          <w:rFonts w:hint="eastAsia" w:ascii="仿宋_GB2312" w:hAnsi="仿宋_GB2312" w:eastAsia="仿宋_GB2312" w:cs="仿宋_GB2312"/>
          <w:color w:val="auto"/>
          <w:sz w:val="32"/>
          <w:szCs w:val="32"/>
          <w:highlight w:val="none"/>
        </w:rPr>
        <w:t>。详见表</w:t>
      </w:r>
      <w:r>
        <w:rPr>
          <w:rFonts w:hint="eastAsia" w:ascii="仿宋_GB2312" w:hAnsi="仿宋_GB2312" w:eastAsia="仿宋_GB2312" w:cs="仿宋_GB2312"/>
          <w:color w:val="auto"/>
          <w:sz w:val="32"/>
          <w:szCs w:val="32"/>
          <w:highlight w:val="none"/>
          <w:lang w:val="en-US" w:eastAsia="zh-CN"/>
        </w:rPr>
        <w:t>八</w:t>
      </w:r>
      <w:r>
        <w:rPr>
          <w:rFonts w:hint="eastAsia" w:ascii="仿宋_GB2312" w:hAnsi="仿宋_GB2312" w:eastAsia="仿宋_GB2312" w:cs="仿宋_GB2312"/>
          <w:color w:val="auto"/>
          <w:sz w:val="32"/>
          <w:szCs w:val="32"/>
          <w:highlight w:val="none"/>
        </w:rPr>
        <w:t>。</w:t>
      </w:r>
    </w:p>
    <w:p w14:paraId="07F9B169">
      <w:pPr>
        <w:numPr>
          <w:ilvl w:val="0"/>
          <w:numId w:val="0"/>
        </w:numPr>
        <w:ind w:left="160" w:leftChars="0"/>
        <w:rPr>
          <w:rFonts w:hint="eastAsia" w:ascii="仿宋_GB2312" w:hAnsi="仿宋_GB2312" w:eastAsia="仿宋_GB2312" w:cs="仿宋_GB2312"/>
          <w:color w:val="auto"/>
          <w:sz w:val="32"/>
          <w:szCs w:val="32"/>
          <w:highlight w:val="none"/>
          <w:lang w:val="en-US" w:eastAsia="zh-CN"/>
        </w:rPr>
      </w:pPr>
    </w:p>
    <w:p w14:paraId="46602F9C">
      <w:pPr>
        <w:numPr>
          <w:ilvl w:val="0"/>
          <w:numId w:val="0"/>
        </w:numPr>
        <w:ind w:left="160" w:leftChars="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表八：国担基金“总对总”批量担保业务统计表</w:t>
      </w:r>
    </w:p>
    <w:p w14:paraId="50C9A16A">
      <w:pPr>
        <w:numPr>
          <w:ilvl w:val="0"/>
          <w:numId w:val="0"/>
        </w:numPr>
        <w:ind w:left="160" w:leftChars="0"/>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24"/>
          <w:highlight w:val="none"/>
          <w:lang w:eastAsia="zh-CN"/>
        </w:rPr>
        <w:t>金额单位：万元</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3"/>
        <w:gridCol w:w="1794"/>
        <w:gridCol w:w="2613"/>
        <w:gridCol w:w="2262"/>
      </w:tblGrid>
      <w:tr w14:paraId="7B46B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7498BD6">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序号</w:t>
            </w:r>
          </w:p>
        </w:tc>
        <w:tc>
          <w:tcPr>
            <w:tcW w:w="2130" w:type="dxa"/>
            <w:vAlign w:val="center"/>
          </w:tcPr>
          <w:p w14:paraId="60ED2C77">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担保机构简称</w:t>
            </w:r>
          </w:p>
        </w:tc>
        <w:tc>
          <w:tcPr>
            <w:tcW w:w="2131" w:type="dxa"/>
            <w:vAlign w:val="center"/>
          </w:tcPr>
          <w:p w14:paraId="79EAF7B5">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业务规模</w:t>
            </w:r>
          </w:p>
        </w:tc>
        <w:tc>
          <w:tcPr>
            <w:tcW w:w="2131" w:type="dxa"/>
            <w:vAlign w:val="center"/>
          </w:tcPr>
          <w:p w14:paraId="120ED0C8">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规模占比</w:t>
            </w:r>
          </w:p>
        </w:tc>
      </w:tr>
      <w:tr w14:paraId="5211A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78193D6">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{{national_zdz_table.index}}</w:t>
            </w:r>
          </w:p>
        </w:tc>
        <w:tc>
          <w:tcPr>
            <w:tcW w:w="2130" w:type="dxa"/>
            <w:vAlign w:val="center"/>
          </w:tcPr>
          <w:p w14:paraId="0BE25EF4">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{{national_zdz_table.name}}</w:t>
            </w:r>
          </w:p>
        </w:tc>
        <w:tc>
          <w:tcPr>
            <w:tcW w:w="2131" w:type="dxa"/>
            <w:vAlign w:val="center"/>
          </w:tcPr>
          <w:p w14:paraId="77F6AC1C">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{{national_zdz_table.amount}}</w:t>
            </w:r>
          </w:p>
        </w:tc>
        <w:tc>
          <w:tcPr>
            <w:tcW w:w="2131" w:type="dxa"/>
            <w:vAlign w:val="center"/>
          </w:tcPr>
          <w:p w14:paraId="3697F65A">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{{national_zdz_table.share_ratio}}%</w:t>
            </w:r>
          </w:p>
        </w:tc>
      </w:tr>
      <w:tr w14:paraId="749EC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1E5834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合计</w:t>
            </w:r>
          </w:p>
        </w:tc>
        <w:tc>
          <w:tcPr>
            <w:tcW w:w="2130" w:type="dxa"/>
            <w:vAlign w:val="center"/>
          </w:tcPr>
          <w:p w14:paraId="3DA05B00">
            <w:pPr>
              <w:rPr>
                <w:rFonts w:ascii="宋体" w:hAnsi="宋体" w:eastAsia="宋体" w:cs="宋体"/>
                <w:kern w:val="0"/>
                <w:sz w:val="24"/>
                <w:szCs w:val="24"/>
                <w:lang w:val="en-US" w:eastAsia="zh-CN" w:bidi="ar"/>
              </w:rPr>
            </w:pPr>
          </w:p>
        </w:tc>
        <w:tc>
          <w:tcPr>
            <w:tcW w:w="2131" w:type="dxa"/>
            <w:vAlign w:val="center"/>
          </w:tcPr>
          <w:p w14:paraId="02DE823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{{national_zdz_table_total.total_amount}}</w:t>
            </w:r>
          </w:p>
        </w:tc>
        <w:tc>
          <w:tcPr>
            <w:tcW w:w="2131" w:type="dxa"/>
            <w:vAlign w:val="center"/>
          </w:tcPr>
          <w:p w14:paraId="0FE1A52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100.00%</w:t>
            </w:r>
          </w:p>
        </w:tc>
      </w:tr>
    </w:tbl>
    <w:p w14:paraId="60F0E3B2">
      <w:pPr>
        <w:rPr>
          <w:rFonts w:hint="eastAsia" w:ascii="仿宋_GB2312" w:hAnsi="仿宋_GB2312" w:eastAsia="仿宋_GB2312" w:cs="仿宋_GB2312"/>
          <w:color w:val="auto"/>
          <w:kern w:val="0"/>
          <w:szCs w:val="21"/>
          <w:highlight w:val="none"/>
        </w:rPr>
      </w:pPr>
      <w:r>
        <w:rPr>
          <w:rFonts w:hint="eastAsia" w:ascii="仿宋_GB2312" w:hAnsi="仿宋_GB2312" w:eastAsia="仿宋_GB2312" w:cs="仿宋_GB2312"/>
          <w:color w:val="auto"/>
          <w:szCs w:val="21"/>
          <w:highlight w:val="none"/>
        </w:rPr>
        <w:t>备注：1.合作担保机构</w:t>
      </w:r>
      <w:r>
        <w:rPr>
          <w:rFonts w:hint="eastAsia" w:ascii="仿宋_GB2312" w:hAnsi="仿宋_GB2312" w:eastAsia="仿宋_GB2312" w:cs="仿宋_GB2312"/>
          <w:color w:val="auto"/>
          <w:kern w:val="0"/>
          <w:szCs w:val="21"/>
          <w:highlight w:val="none"/>
        </w:rPr>
        <w:t>按</w:t>
      </w:r>
      <w:r>
        <w:rPr>
          <w:rFonts w:hint="eastAsia" w:ascii="仿宋_GB2312" w:hAnsi="仿宋_GB2312" w:eastAsia="仿宋_GB2312" w:cs="仿宋_GB2312"/>
          <w:color w:val="auto"/>
          <w:kern w:val="0"/>
          <w:szCs w:val="21"/>
          <w:highlight w:val="none"/>
          <w:lang w:eastAsia="zh-CN"/>
        </w:rPr>
        <w:t>上半年</w:t>
      </w:r>
      <w:r>
        <w:rPr>
          <w:rFonts w:hint="eastAsia" w:ascii="仿宋_GB2312" w:hAnsi="仿宋_GB2312" w:eastAsia="仿宋_GB2312" w:cs="仿宋_GB2312"/>
          <w:color w:val="auto"/>
          <w:kern w:val="0"/>
          <w:szCs w:val="21"/>
          <w:highlight w:val="none"/>
        </w:rPr>
        <w:t>合作业务规模降序排列</w:t>
      </w:r>
    </w:p>
    <w:p w14:paraId="5C013422">
      <w:pPr>
        <w:ind w:firstLine="630" w:firstLineChars="300"/>
        <w:rPr>
          <w:rFonts w:hint="eastAsia" w:ascii="仿宋_GB2312" w:hAnsi="仿宋_GB2312" w:eastAsia="仿宋_GB2312" w:cs="仿宋_GB2312"/>
          <w:color w:val="auto"/>
          <w:szCs w:val="21"/>
          <w:highlight w:val="none"/>
        </w:rPr>
      </w:pPr>
      <w:r>
        <w:rPr>
          <w:rFonts w:hint="eastAsia" w:ascii="仿宋_GB2312" w:hAnsi="仿宋_GB2312" w:eastAsia="仿宋_GB2312" w:cs="仿宋_GB2312"/>
          <w:color w:val="auto"/>
          <w:kern w:val="0"/>
          <w:szCs w:val="21"/>
          <w:highlight w:val="none"/>
        </w:rPr>
        <w:t>2.</w:t>
      </w:r>
      <w:r>
        <w:rPr>
          <w:rFonts w:hint="eastAsia" w:ascii="仿宋_GB2312" w:hAnsi="仿宋_GB2312" w:eastAsia="仿宋_GB2312" w:cs="仿宋_GB2312"/>
          <w:color w:val="auto"/>
          <w:szCs w:val="21"/>
          <w:highlight w:val="none"/>
        </w:rPr>
        <w:t>规模占比=各担保机构国担“总对总”业务规模/国担“总对总”业务总规模*100%</w:t>
      </w:r>
    </w:p>
    <w:p w14:paraId="659009FB">
      <w:pPr>
        <w:ind w:firstLine="643" w:firstLineChars="200"/>
        <w:rPr>
          <w:rFonts w:hint="eastAsia" w:ascii="仿宋_GB2312" w:hAnsi="仿宋_GB2312" w:eastAsia="仿宋_GB2312" w:cs="仿宋_GB2312"/>
          <w:color w:val="auto"/>
          <w:sz w:val="32"/>
          <w:szCs w:val="32"/>
          <w:highlight w:val="none"/>
        </w:rPr>
      </w:pPr>
      <w:r>
        <w:rPr>
          <w:rFonts w:hint="eastAsia" w:ascii="仿宋" w:hAnsi="仿宋" w:eastAsia="仿宋" w:cs="仿宋_GB2312"/>
          <w:b/>
          <w:bCs/>
          <w:color w:val="auto"/>
          <w:sz w:val="32"/>
          <w:szCs w:val="32"/>
          <w:highlight w:val="none"/>
          <w:lang w:val="en-US" w:eastAsia="zh-CN"/>
        </w:rPr>
        <w:t>2.</w:t>
      </w:r>
      <w:r>
        <w:rPr>
          <w:rFonts w:hint="eastAsia" w:ascii="仿宋" w:hAnsi="仿宋" w:eastAsia="仿宋" w:cs="仿宋_GB2312"/>
          <w:b/>
          <w:bCs/>
          <w:color w:val="auto"/>
          <w:sz w:val="32"/>
          <w:szCs w:val="32"/>
          <w:highlight w:val="yellow"/>
          <w:lang w:val="en-US" w:eastAsia="zh-CN"/>
        </w:rPr>
        <w:t>地方版银担“总对总”批量业务</w:t>
      </w:r>
      <w:r>
        <w:rPr>
          <w:rFonts w:hint="eastAsia" w:ascii="仿宋" w:hAnsi="仿宋" w:eastAsia="仿宋" w:cs="仿宋_GB2312"/>
          <w:b/>
          <w:bCs/>
          <w:color w:val="auto"/>
          <w:sz w:val="32"/>
          <w:szCs w:val="32"/>
          <w:highlight w:val="none"/>
          <w:lang w:val="en-US" w:eastAsia="zh-CN"/>
        </w:rPr>
        <w:t>情况。</w:t>
      </w:r>
      <w:r>
        <w:rPr>
          <w:rFonts w:hint="eastAsia" w:ascii="仿宋_GB2312" w:hAnsi="仿宋_GB2312" w:eastAsia="仿宋_GB2312" w:cs="仿宋_GB2312"/>
          <w:color w:val="auto"/>
          <w:sz w:val="32"/>
          <w:szCs w:val="32"/>
          <w:highlight w:val="none"/>
          <w:lang w:eastAsia="zh-CN"/>
        </w:rPr>
        <w:t>上半年，体系新增地方版银担“总对总”批量担保业务{{local_zdz_summary.total_amount}}亿元。业务规模排名在前三位的担保机构分别是：{{local_zdz_top3.first_name}}{{local_zdz_top3.first_amount}}亿元、{{local_zdz_top3.second_name}}{{local_zdz_top3.second_amount}}亿元、{{local_zdz_top3.third_name}}{{local_zdz_top3.third_amount}}亿元</w:t>
      </w:r>
      <w:r>
        <w:rPr>
          <w:rFonts w:hint="eastAsia" w:ascii="仿宋_GB2312" w:hAnsi="仿宋_GB2312" w:eastAsia="仿宋_GB2312" w:cs="仿宋_GB2312"/>
          <w:color w:val="auto"/>
          <w:sz w:val="32"/>
          <w:szCs w:val="32"/>
          <w:highlight w:val="none"/>
        </w:rPr>
        <w:t>。详见表</w:t>
      </w:r>
      <w:r>
        <w:rPr>
          <w:rFonts w:hint="eastAsia" w:ascii="仿宋_GB2312" w:hAnsi="仿宋_GB2312" w:eastAsia="仿宋_GB2312" w:cs="仿宋_GB2312"/>
          <w:color w:val="auto"/>
          <w:sz w:val="32"/>
          <w:szCs w:val="32"/>
          <w:highlight w:val="none"/>
          <w:lang w:val="en-US" w:eastAsia="zh-CN"/>
        </w:rPr>
        <w:t>九</w:t>
      </w:r>
      <w:r>
        <w:rPr>
          <w:rFonts w:hint="eastAsia" w:ascii="仿宋_GB2312" w:hAnsi="仿宋_GB2312" w:eastAsia="仿宋_GB2312" w:cs="仿宋_GB2312"/>
          <w:color w:val="auto"/>
          <w:sz w:val="32"/>
          <w:szCs w:val="32"/>
          <w:highlight w:val="none"/>
        </w:rPr>
        <w:t>。</w:t>
      </w:r>
    </w:p>
    <w:p w14:paraId="77F0EEC9">
      <w:pPr>
        <w:numPr>
          <w:ilvl w:val="0"/>
          <w:numId w:val="0"/>
        </w:numPr>
        <w:ind w:left="160" w:leftChars="0"/>
        <w:rPr>
          <w:rFonts w:hint="eastAsia" w:ascii="仿宋_GB2312" w:hAnsi="仿宋_GB2312" w:eastAsia="仿宋_GB2312" w:cs="仿宋_GB2312"/>
          <w:color w:val="auto"/>
          <w:sz w:val="32"/>
          <w:szCs w:val="32"/>
          <w:highlight w:val="none"/>
          <w:lang w:val="en-US" w:eastAsia="zh-CN"/>
        </w:rPr>
      </w:pPr>
    </w:p>
    <w:p w14:paraId="603CF918">
      <w:pPr>
        <w:numPr>
          <w:ilvl w:val="0"/>
          <w:numId w:val="0"/>
        </w:numPr>
        <w:ind w:left="160" w:leftChars="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表九：地方版“总对总”批量担保业务统计表</w:t>
      </w:r>
    </w:p>
    <w:p w14:paraId="097BA009">
      <w:pPr>
        <w:numPr>
          <w:ilvl w:val="0"/>
          <w:numId w:val="0"/>
        </w:numPr>
        <w:ind w:left="160" w:leftChars="0"/>
        <w:rPr>
          <w:rFonts w:hint="default"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 xml:space="preserve">                                      </w:t>
      </w:r>
      <w:r>
        <w:rPr>
          <w:rFonts w:hint="eastAsia" w:ascii="仿宋_GB2312" w:hAnsi="仿宋_GB2312" w:eastAsia="仿宋_GB2312" w:cs="仿宋_GB2312"/>
          <w:color w:val="auto"/>
          <w:sz w:val="24"/>
          <w:highlight w:val="none"/>
          <w:lang w:eastAsia="zh-CN"/>
        </w:rPr>
        <w:t>金额单位：万元</w:t>
      </w:r>
      <w:bookmarkStart w:id="0" w:name="_GoBack"/>
      <w:bookmarkEnd w:id="0"/>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5"/>
        <w:gridCol w:w="1760"/>
        <w:gridCol w:w="2661"/>
        <w:gridCol w:w="2276"/>
      </w:tblGrid>
      <w:tr w14:paraId="027C8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74CDFF8">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序号</w:t>
            </w:r>
          </w:p>
        </w:tc>
        <w:tc>
          <w:tcPr>
            <w:tcW w:w="2130" w:type="dxa"/>
            <w:vAlign w:val="center"/>
          </w:tcPr>
          <w:p w14:paraId="6C012849">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担保机构简称</w:t>
            </w:r>
          </w:p>
        </w:tc>
        <w:tc>
          <w:tcPr>
            <w:tcW w:w="2131" w:type="dxa"/>
            <w:vAlign w:val="center"/>
          </w:tcPr>
          <w:p w14:paraId="760611BA">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业务规模</w:t>
            </w:r>
          </w:p>
        </w:tc>
        <w:tc>
          <w:tcPr>
            <w:tcW w:w="2131" w:type="dxa"/>
            <w:vAlign w:val="center"/>
          </w:tcPr>
          <w:p w14:paraId="2EA9CC1F">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规模占比</w:t>
            </w:r>
          </w:p>
        </w:tc>
      </w:tr>
      <w:tr w14:paraId="08F55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C57F416">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{{local_zdz_table.index}}</w:t>
            </w:r>
          </w:p>
        </w:tc>
        <w:tc>
          <w:tcPr>
            <w:tcW w:w="2130" w:type="dxa"/>
            <w:vAlign w:val="center"/>
          </w:tcPr>
          <w:p w14:paraId="66163B6D">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{{local_zdz_table.name}}</w:t>
            </w:r>
          </w:p>
        </w:tc>
        <w:tc>
          <w:tcPr>
            <w:tcW w:w="2131" w:type="dxa"/>
            <w:vAlign w:val="center"/>
          </w:tcPr>
          <w:p w14:paraId="1A0410B6">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{{local_zdz_table.amount}}</w:t>
            </w:r>
          </w:p>
        </w:tc>
        <w:tc>
          <w:tcPr>
            <w:tcW w:w="2131" w:type="dxa"/>
            <w:vAlign w:val="center"/>
          </w:tcPr>
          <w:p w14:paraId="3E491663">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{{local_zdz_table.share_ratio}}%</w:t>
            </w:r>
          </w:p>
        </w:tc>
      </w:tr>
      <w:tr w14:paraId="2BDE5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150321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合计</w:t>
            </w:r>
          </w:p>
        </w:tc>
        <w:tc>
          <w:tcPr>
            <w:tcW w:w="2130" w:type="dxa"/>
            <w:vAlign w:val="center"/>
          </w:tcPr>
          <w:p w14:paraId="08271D04">
            <w:pPr>
              <w:rPr>
                <w:rFonts w:ascii="宋体" w:hAnsi="宋体" w:eastAsia="宋体" w:cs="宋体"/>
                <w:kern w:val="0"/>
                <w:sz w:val="24"/>
                <w:szCs w:val="24"/>
                <w:lang w:val="en-US" w:eastAsia="zh-CN" w:bidi="ar"/>
              </w:rPr>
            </w:pPr>
          </w:p>
        </w:tc>
        <w:tc>
          <w:tcPr>
            <w:tcW w:w="2131" w:type="dxa"/>
            <w:vAlign w:val="center"/>
          </w:tcPr>
          <w:p w14:paraId="1F26D87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{{local_zdz_table_total.total_amount}}</w:t>
            </w:r>
          </w:p>
        </w:tc>
        <w:tc>
          <w:tcPr>
            <w:tcW w:w="2131" w:type="dxa"/>
            <w:vAlign w:val="center"/>
          </w:tcPr>
          <w:p w14:paraId="60323D7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100.00%</w:t>
            </w:r>
          </w:p>
        </w:tc>
      </w:tr>
    </w:tbl>
    <w:p w14:paraId="4F02B2B9">
      <w:pPr>
        <w:rPr>
          <w:rFonts w:hint="eastAsia" w:ascii="仿宋_GB2312" w:hAnsi="仿宋_GB2312" w:eastAsia="仿宋_GB2312" w:cs="仿宋_GB2312"/>
          <w:color w:val="auto"/>
          <w:kern w:val="0"/>
          <w:szCs w:val="21"/>
          <w:highlight w:val="none"/>
        </w:rPr>
      </w:pPr>
      <w:r>
        <w:rPr>
          <w:rFonts w:hint="eastAsia" w:ascii="仿宋_GB2312" w:hAnsi="仿宋_GB2312" w:eastAsia="仿宋_GB2312" w:cs="仿宋_GB2312"/>
          <w:color w:val="auto"/>
          <w:szCs w:val="21"/>
          <w:highlight w:val="none"/>
        </w:rPr>
        <w:t>备注：1.合作担保机构</w:t>
      </w:r>
      <w:r>
        <w:rPr>
          <w:rFonts w:hint="eastAsia" w:ascii="仿宋_GB2312" w:hAnsi="仿宋_GB2312" w:eastAsia="仿宋_GB2312" w:cs="仿宋_GB2312"/>
          <w:color w:val="auto"/>
          <w:kern w:val="0"/>
          <w:szCs w:val="21"/>
          <w:highlight w:val="none"/>
        </w:rPr>
        <w:t>按</w:t>
      </w:r>
      <w:r>
        <w:rPr>
          <w:rFonts w:hint="eastAsia" w:ascii="仿宋_GB2312" w:hAnsi="仿宋_GB2312" w:eastAsia="仿宋_GB2312" w:cs="仿宋_GB2312"/>
          <w:color w:val="auto"/>
          <w:kern w:val="0"/>
          <w:szCs w:val="21"/>
          <w:highlight w:val="none"/>
          <w:lang w:eastAsia="zh-CN"/>
        </w:rPr>
        <w:t>上半年</w:t>
      </w:r>
      <w:r>
        <w:rPr>
          <w:rFonts w:hint="eastAsia" w:ascii="仿宋_GB2312" w:hAnsi="仿宋_GB2312" w:eastAsia="仿宋_GB2312" w:cs="仿宋_GB2312"/>
          <w:color w:val="auto"/>
          <w:kern w:val="0"/>
          <w:szCs w:val="21"/>
          <w:highlight w:val="none"/>
        </w:rPr>
        <w:t>合作业务规模降序排列</w:t>
      </w:r>
    </w:p>
    <w:p w14:paraId="4243D3F4">
      <w:pPr>
        <w:ind w:firstLine="630" w:firstLineChars="300"/>
        <w:rPr>
          <w:rFonts w:hint="eastAsia" w:ascii="仿宋_GB2312" w:hAnsi="仿宋_GB2312" w:eastAsia="仿宋_GB2312" w:cs="仿宋_GB2312"/>
          <w:color w:val="auto"/>
          <w:szCs w:val="21"/>
          <w:highlight w:val="none"/>
        </w:rPr>
      </w:pPr>
      <w:r>
        <w:rPr>
          <w:rFonts w:hint="eastAsia" w:ascii="仿宋_GB2312" w:hAnsi="仿宋_GB2312" w:eastAsia="仿宋_GB2312" w:cs="仿宋_GB2312"/>
          <w:color w:val="auto"/>
          <w:kern w:val="0"/>
          <w:szCs w:val="21"/>
          <w:highlight w:val="none"/>
        </w:rPr>
        <w:t>2.</w:t>
      </w:r>
      <w:r>
        <w:rPr>
          <w:rFonts w:hint="eastAsia" w:ascii="仿宋_GB2312" w:hAnsi="仿宋_GB2312" w:eastAsia="仿宋_GB2312" w:cs="仿宋_GB2312"/>
          <w:color w:val="auto"/>
          <w:szCs w:val="21"/>
          <w:highlight w:val="none"/>
        </w:rPr>
        <w:t>规模占比=各担保机构地方版“总对总”业务规模/地方版“总对总”业务总规模*100%</w:t>
      </w:r>
    </w:p>
    <w:p w14:paraId="430C4C26">
      <w:pPr>
        <w:numPr>
          <w:ilvl w:val="0"/>
          <w:numId w:val="0"/>
        </w:numPr>
        <w:ind w:left="160" w:leftChars="0"/>
        <w:rPr>
          <w:rFonts w:hint="eastAsia" w:ascii="仿宋_GB2312" w:hAnsi="仿宋_GB2312" w:eastAsia="仿宋_GB2312" w:cs="仿宋_GB2312"/>
          <w:color w:val="auto"/>
          <w:sz w:val="32"/>
          <w:szCs w:val="32"/>
          <w:highlight w:val="none"/>
          <w:lang w:val="en-US" w:eastAsia="zh-CN"/>
        </w:rPr>
      </w:pPr>
    </w:p>
    <w:p w14:paraId="72BE2F2F">
      <w:pPr>
        <w:ind w:firstLine="643" w:firstLineChars="200"/>
        <w:rPr>
          <w:rFonts w:hint="eastAsia" w:ascii="仿宋_GB2312" w:hAnsi="仿宋_GB2312" w:eastAsia="仿宋_GB2312" w:cs="仿宋_GB2312"/>
          <w:color w:val="auto"/>
          <w:sz w:val="32"/>
          <w:szCs w:val="32"/>
          <w:highlight w:val="none"/>
        </w:rPr>
      </w:pPr>
      <w:r>
        <w:rPr>
          <w:rFonts w:hint="eastAsia" w:ascii="仿宋" w:hAnsi="仿宋" w:eastAsia="仿宋" w:cs="仿宋_GB2312"/>
          <w:b/>
          <w:bCs/>
          <w:color w:val="auto"/>
          <w:sz w:val="32"/>
          <w:szCs w:val="32"/>
          <w:highlight w:val="none"/>
          <w:lang w:val="en-US" w:eastAsia="zh-CN"/>
        </w:rPr>
        <w:t>3.</w:t>
      </w:r>
      <w:r>
        <w:rPr>
          <w:rFonts w:hint="eastAsia" w:ascii="仿宋" w:hAnsi="仿宋" w:eastAsia="仿宋" w:cs="仿宋_GB2312"/>
          <w:b/>
          <w:bCs/>
          <w:color w:val="auto"/>
          <w:sz w:val="32"/>
          <w:szCs w:val="32"/>
          <w:highlight w:val="yellow"/>
          <w:lang w:val="en-US" w:eastAsia="zh-CN"/>
        </w:rPr>
        <w:t>银行开展银担“总对总”批量担保业务</w:t>
      </w:r>
      <w:r>
        <w:rPr>
          <w:rFonts w:hint="eastAsia" w:ascii="仿宋" w:hAnsi="仿宋" w:eastAsia="仿宋" w:cs="仿宋_GB2312"/>
          <w:b/>
          <w:bCs/>
          <w:color w:val="auto"/>
          <w:sz w:val="32"/>
          <w:szCs w:val="32"/>
          <w:highlight w:val="none"/>
          <w:lang w:val="en-US" w:eastAsia="zh-CN"/>
        </w:rPr>
        <w:t>情况</w:t>
      </w:r>
      <w:r>
        <w:rPr>
          <w:rFonts w:hint="eastAsia" w:ascii="楷体" w:hAnsi="楷体" w:eastAsia="楷体" w:cs="仿宋_GB2312"/>
          <w:bCs/>
          <w:color w:val="auto"/>
          <w:sz w:val="32"/>
          <w:szCs w:val="32"/>
          <w:highlight w:val="none"/>
        </w:rPr>
        <w:t>。</w:t>
      </w:r>
      <w:r>
        <w:rPr>
          <w:rFonts w:hint="eastAsia" w:ascii="仿宋_GB2312" w:hAnsi="仿宋_GB2312" w:eastAsia="仿宋_GB2312" w:cs="仿宋_GB2312"/>
          <w:color w:val="auto"/>
          <w:sz w:val="32"/>
          <w:szCs w:val="32"/>
          <w:highlight w:val="none"/>
          <w:lang w:eastAsia="zh-CN"/>
        </w:rPr>
        <w:t>上半年，银担“总对总”批量担保业务总计{{bank_zdz_summary.total_amount}}亿元，占体系合作业务的{{bank_zdz_summary.share_ratio}}%。主要集中在{{bank_zdz_top3.first_name}}、{{bank_zdz_top3.second_name}}和{{bank_zdz_top3.third_name}}，业务规模分别为{{bank_zdz_top3.first_amount}}亿元、{{bank_zdz_top3.second_amount}}亿元和{{bank_zdz_top3.third_amount}}亿元</w:t>
      </w:r>
      <w:r>
        <w:rPr>
          <w:rFonts w:hint="eastAsia" w:ascii="仿宋_GB2312" w:hAnsi="仿宋_GB2312" w:eastAsia="仿宋_GB2312" w:cs="仿宋_GB2312"/>
          <w:color w:val="auto"/>
          <w:sz w:val="32"/>
          <w:szCs w:val="32"/>
          <w:highlight w:val="none"/>
        </w:rPr>
        <w:t>。详见表</w:t>
      </w:r>
      <w:r>
        <w:rPr>
          <w:rFonts w:hint="eastAsia" w:ascii="仿宋_GB2312" w:hAnsi="仿宋_GB2312" w:eastAsia="仿宋_GB2312" w:cs="仿宋_GB2312"/>
          <w:color w:val="auto"/>
          <w:sz w:val="32"/>
          <w:szCs w:val="32"/>
          <w:highlight w:val="none"/>
          <w:lang w:val="en-US" w:eastAsia="zh-CN"/>
        </w:rPr>
        <w:t>十</w:t>
      </w:r>
      <w:r>
        <w:rPr>
          <w:rFonts w:hint="eastAsia" w:ascii="仿宋_GB2312" w:hAnsi="仿宋_GB2312" w:eastAsia="仿宋_GB2312" w:cs="仿宋_GB2312"/>
          <w:color w:val="auto"/>
          <w:sz w:val="32"/>
          <w:szCs w:val="32"/>
          <w:highlight w:val="none"/>
        </w:rPr>
        <w:t>。</w:t>
      </w:r>
    </w:p>
    <w:p w14:paraId="148A7D4E">
      <w:pPr>
        <w:numPr>
          <w:ilvl w:val="0"/>
          <w:numId w:val="0"/>
        </w:numPr>
        <w:ind w:left="160" w:leftChars="0"/>
        <w:rPr>
          <w:rFonts w:hint="eastAsia" w:ascii="仿宋_GB2312" w:hAnsi="仿宋_GB2312" w:eastAsia="仿宋_GB2312" w:cs="仿宋_GB2312"/>
          <w:color w:val="auto"/>
          <w:sz w:val="32"/>
          <w:szCs w:val="32"/>
          <w:highlight w:val="none"/>
          <w:lang w:val="en-US" w:eastAsia="zh-CN"/>
        </w:rPr>
      </w:pPr>
    </w:p>
    <w:p w14:paraId="35384896">
      <w:pPr>
        <w:numPr>
          <w:ilvl w:val="0"/>
          <w:numId w:val="0"/>
        </w:numPr>
        <w:ind w:left="160" w:leftChars="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表十：合作银行“总对总”批量担保业务统计表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1"/>
        <w:gridCol w:w="1581"/>
        <w:gridCol w:w="2412"/>
        <w:gridCol w:w="2888"/>
      </w:tblGrid>
      <w:tr w14:paraId="0DA63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194F081">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序号</w:t>
            </w:r>
          </w:p>
        </w:tc>
        <w:tc>
          <w:tcPr>
            <w:tcW w:w="2130" w:type="dxa"/>
            <w:vAlign w:val="center"/>
          </w:tcPr>
          <w:p w14:paraId="7D6333CB">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合作银行简称</w:t>
            </w:r>
          </w:p>
        </w:tc>
        <w:tc>
          <w:tcPr>
            <w:tcW w:w="2131" w:type="dxa"/>
            <w:vAlign w:val="center"/>
          </w:tcPr>
          <w:p w14:paraId="1F8E231E">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业务规模</w:t>
            </w:r>
          </w:p>
        </w:tc>
        <w:tc>
          <w:tcPr>
            <w:tcW w:w="2131" w:type="dxa"/>
            <w:vAlign w:val="center"/>
          </w:tcPr>
          <w:p w14:paraId="4928F41B">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业务占比</w:t>
            </w:r>
          </w:p>
        </w:tc>
      </w:tr>
      <w:tr w14:paraId="5920D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4D32DCE">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{{bank_zdz_table.index}}</w:t>
            </w:r>
          </w:p>
        </w:tc>
        <w:tc>
          <w:tcPr>
            <w:tcW w:w="2130" w:type="dxa"/>
            <w:vAlign w:val="center"/>
          </w:tcPr>
          <w:p w14:paraId="448C3144">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{{bank_zdz_table.name}}</w:t>
            </w:r>
          </w:p>
        </w:tc>
        <w:tc>
          <w:tcPr>
            <w:tcW w:w="2131" w:type="dxa"/>
            <w:vAlign w:val="center"/>
          </w:tcPr>
          <w:p w14:paraId="26C231F1">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{{bank_zdz_table.amount}}</w:t>
            </w:r>
          </w:p>
        </w:tc>
        <w:tc>
          <w:tcPr>
            <w:tcW w:w="2131" w:type="dxa"/>
            <w:vAlign w:val="center"/>
          </w:tcPr>
          <w:p w14:paraId="2D64A883">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{{bank_zdz_table.business_ratio}}%</w:t>
            </w:r>
          </w:p>
        </w:tc>
      </w:tr>
      <w:tr w14:paraId="046C9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3A6A9D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合计</w:t>
            </w:r>
          </w:p>
        </w:tc>
        <w:tc>
          <w:tcPr>
            <w:tcW w:w="2130" w:type="dxa"/>
            <w:vAlign w:val="center"/>
          </w:tcPr>
          <w:p w14:paraId="08F42D59">
            <w:pPr>
              <w:rPr>
                <w:rFonts w:ascii="宋体" w:hAnsi="宋体" w:eastAsia="宋体" w:cs="宋体"/>
                <w:kern w:val="0"/>
                <w:sz w:val="24"/>
                <w:szCs w:val="24"/>
                <w:lang w:val="en-US" w:eastAsia="zh-CN" w:bidi="ar"/>
              </w:rPr>
            </w:pPr>
          </w:p>
        </w:tc>
        <w:tc>
          <w:tcPr>
            <w:tcW w:w="2131" w:type="dxa"/>
            <w:vAlign w:val="center"/>
          </w:tcPr>
          <w:p w14:paraId="639E747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{{bank_zdz_table_total.total_amount}}</w:t>
            </w:r>
          </w:p>
        </w:tc>
        <w:tc>
          <w:tcPr>
            <w:tcW w:w="2131" w:type="dxa"/>
            <w:vAlign w:val="center"/>
          </w:tcPr>
          <w:p w14:paraId="45BA953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{{bank_zdz_table_total.overall_share_ratio}}%</w:t>
            </w:r>
          </w:p>
        </w:tc>
      </w:tr>
    </w:tbl>
    <w:p w14:paraId="6DDAEC4F">
      <w:pPr>
        <w:rPr>
          <w:rFonts w:hint="eastAsia" w:ascii="仿宋_GB2312" w:hAnsi="仿宋_GB2312" w:eastAsia="仿宋_GB2312" w:cs="仿宋_GB2312"/>
          <w:color w:val="auto"/>
          <w:kern w:val="0"/>
          <w:szCs w:val="21"/>
          <w:highlight w:val="none"/>
        </w:rPr>
      </w:pPr>
      <w:r>
        <w:rPr>
          <w:rFonts w:hint="eastAsia" w:ascii="仿宋_GB2312" w:hAnsi="仿宋_GB2312" w:eastAsia="仿宋_GB2312" w:cs="仿宋_GB2312"/>
          <w:color w:val="auto"/>
          <w:szCs w:val="21"/>
          <w:highlight w:val="none"/>
        </w:rPr>
        <w:t>备注：1.各合作银行</w:t>
      </w:r>
      <w:r>
        <w:rPr>
          <w:rFonts w:hint="eastAsia" w:ascii="仿宋_GB2312" w:hAnsi="仿宋_GB2312" w:eastAsia="仿宋_GB2312" w:cs="仿宋_GB2312"/>
          <w:color w:val="auto"/>
          <w:kern w:val="0"/>
          <w:szCs w:val="21"/>
          <w:highlight w:val="none"/>
        </w:rPr>
        <w:t>按</w:t>
      </w:r>
      <w:r>
        <w:rPr>
          <w:rFonts w:hint="eastAsia" w:ascii="仿宋_GB2312" w:hAnsi="仿宋_GB2312" w:eastAsia="仿宋_GB2312" w:cs="仿宋_GB2312"/>
          <w:color w:val="auto"/>
          <w:kern w:val="0"/>
          <w:szCs w:val="21"/>
          <w:highlight w:val="none"/>
          <w:lang w:eastAsia="zh-CN"/>
        </w:rPr>
        <w:t>上半年</w:t>
      </w:r>
      <w:r>
        <w:rPr>
          <w:rFonts w:hint="eastAsia" w:ascii="仿宋_GB2312" w:hAnsi="仿宋_GB2312" w:eastAsia="仿宋_GB2312" w:cs="仿宋_GB2312"/>
          <w:color w:val="auto"/>
          <w:kern w:val="0"/>
          <w:szCs w:val="21"/>
          <w:highlight w:val="none"/>
        </w:rPr>
        <w:t>合作业务规模降序排列</w:t>
      </w:r>
    </w:p>
    <w:p w14:paraId="7369DD99">
      <w:pPr>
        <w:ind w:firstLine="420" w:firstLineChars="200"/>
        <w:rPr>
          <w:rFonts w:hint="eastAsia" w:ascii="仿宋_GB2312" w:hAnsi="仿宋_GB2312" w:eastAsia="仿宋_GB2312" w:cs="仿宋_GB2312"/>
          <w:color w:val="auto"/>
          <w:kern w:val="0"/>
          <w:szCs w:val="21"/>
          <w:highlight w:val="none"/>
        </w:rPr>
      </w:pPr>
      <w:r>
        <w:rPr>
          <w:rFonts w:hint="eastAsia" w:ascii="仿宋_GB2312" w:hAnsi="仿宋_GB2312" w:eastAsia="仿宋_GB2312" w:cs="仿宋_GB2312"/>
          <w:color w:val="auto"/>
          <w:kern w:val="0"/>
          <w:szCs w:val="21"/>
          <w:highlight w:val="none"/>
        </w:rPr>
        <w:t xml:space="preserve">  2.规模占比=合作银行“总对总”批量业务规模/合作银行合作业务规模 *100%</w:t>
      </w:r>
    </w:p>
    <w:p w14:paraId="001B1245">
      <w:pPr>
        <w:ind w:firstLine="645"/>
        <w:rPr>
          <w:rFonts w:ascii="仿宋" w:hAnsi="仿宋" w:eastAsia="仿宋" w:cs="仿宋"/>
          <w:color w:val="auto"/>
          <w:sz w:val="32"/>
          <w:szCs w:val="32"/>
          <w:highlight w:val="none"/>
        </w:rPr>
      </w:pPr>
      <w:r>
        <w:rPr>
          <w:rFonts w:hint="eastAsia" w:ascii="楷体" w:hAnsi="楷体" w:eastAsia="楷体" w:cs="仿宋_GB2312"/>
          <w:bCs/>
          <w:color w:val="auto"/>
          <w:sz w:val="32"/>
          <w:szCs w:val="32"/>
          <w:highlight w:val="none"/>
        </w:rPr>
        <w:t>（</w:t>
      </w:r>
      <w:r>
        <w:rPr>
          <w:rFonts w:hint="eastAsia" w:ascii="楷体" w:hAnsi="楷体" w:eastAsia="楷体" w:cs="仿宋_GB2312"/>
          <w:bCs/>
          <w:color w:val="auto"/>
          <w:sz w:val="32"/>
          <w:szCs w:val="32"/>
          <w:highlight w:val="none"/>
          <w:lang w:val="en-US" w:eastAsia="zh-CN"/>
        </w:rPr>
        <w:t>二</w:t>
      </w:r>
      <w:r>
        <w:rPr>
          <w:rFonts w:hint="eastAsia" w:ascii="楷体" w:hAnsi="楷体" w:eastAsia="楷体" w:cs="仿宋_GB2312"/>
          <w:bCs/>
          <w:color w:val="auto"/>
          <w:sz w:val="32"/>
          <w:szCs w:val="32"/>
          <w:highlight w:val="none"/>
        </w:rPr>
        <w:t>）创业担保贷款业务开展情况。</w:t>
      </w:r>
      <w:r>
        <w:rPr>
          <w:rFonts w:hint="eastAsia" w:ascii="仿宋_GB2312" w:hAnsi="仿宋_GB2312" w:eastAsia="仿宋_GB2312" w:cs="仿宋_GB2312"/>
          <w:color w:val="auto"/>
          <w:sz w:val="32"/>
          <w:szCs w:val="32"/>
          <w:highlight w:val="none"/>
          <w:lang w:eastAsia="zh-CN"/>
        </w:rPr>
        <w:t>上半年，体系内{{chuangye_summary.institution_count}}家担保机构累计开展创业担保贷款业务{{chuangye_summary.total_amount}}亿元。合作业务规模排名在前三位的分别是：{{chuangye_top3.first_name}}{{chuangye_top3.first_amount}}亿元、{{chuangye_top3.second_name}}{{chuangye_top3.second_amount}}亿元、{{chuangye_top3.third_name}}{{chuangye_top3.third_amount}}亿元</w:t>
      </w:r>
      <w:r>
        <w:rPr>
          <w:rFonts w:hint="eastAsia" w:ascii="仿宋_GB2312" w:hAnsi="仿宋_GB2312" w:eastAsia="仿宋_GB2312" w:cs="仿宋_GB2312"/>
          <w:color w:val="auto"/>
          <w:sz w:val="32"/>
          <w:szCs w:val="32"/>
          <w:highlight w:val="none"/>
        </w:rPr>
        <w:t>。详见表</w:t>
      </w:r>
      <w:r>
        <w:rPr>
          <w:rFonts w:hint="eastAsia" w:ascii="仿宋_GB2312" w:hAnsi="仿宋_GB2312" w:eastAsia="仿宋_GB2312" w:cs="仿宋_GB2312"/>
          <w:color w:val="auto"/>
          <w:sz w:val="32"/>
          <w:szCs w:val="32"/>
          <w:highlight w:val="none"/>
          <w:lang w:val="en-US" w:eastAsia="zh-CN"/>
        </w:rPr>
        <w:t>十一</w:t>
      </w:r>
      <w:r>
        <w:rPr>
          <w:rFonts w:hint="eastAsia" w:ascii="仿宋_GB2312" w:hAnsi="仿宋_GB2312" w:eastAsia="仿宋_GB2312" w:cs="仿宋_GB2312"/>
          <w:color w:val="auto"/>
          <w:sz w:val="32"/>
          <w:szCs w:val="32"/>
          <w:highlight w:val="none"/>
        </w:rPr>
        <w:t>。</w:t>
      </w:r>
    </w:p>
    <w:p w14:paraId="4A1A3DE3">
      <w:pPr>
        <w:numPr>
          <w:ilvl w:val="0"/>
          <w:numId w:val="0"/>
        </w:numPr>
        <w:rPr>
          <w:rFonts w:hint="eastAsia" w:ascii="仿宋_GB2312" w:hAnsi="仿宋_GB2312" w:eastAsia="仿宋_GB2312" w:cs="仿宋_GB2312"/>
          <w:color w:val="auto"/>
          <w:sz w:val="32"/>
          <w:szCs w:val="32"/>
          <w:highlight w:val="none"/>
          <w:lang w:val="en-US" w:eastAsia="zh-CN"/>
        </w:rPr>
      </w:pPr>
    </w:p>
    <w:p w14:paraId="00E922BF">
      <w:pPr>
        <w:numPr>
          <w:ilvl w:val="0"/>
          <w:numId w:val="0"/>
        </w:numPr>
        <w:ind w:left="160" w:leftChars="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表十一：创业担保贷款再担保业务统计表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748"/>
        <w:gridCol w:w="2680"/>
        <w:gridCol w:w="2280"/>
      </w:tblGrid>
      <w:tr w14:paraId="123C7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CADA137">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序号</w:t>
            </w:r>
          </w:p>
        </w:tc>
        <w:tc>
          <w:tcPr>
            <w:tcW w:w="2130" w:type="dxa"/>
            <w:vAlign w:val="center"/>
          </w:tcPr>
          <w:p w14:paraId="6E4CB4E1">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担保机构简称</w:t>
            </w:r>
          </w:p>
        </w:tc>
        <w:tc>
          <w:tcPr>
            <w:tcW w:w="2131" w:type="dxa"/>
            <w:vAlign w:val="center"/>
          </w:tcPr>
          <w:p w14:paraId="6E217ED5">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合作业务规模</w:t>
            </w:r>
          </w:p>
        </w:tc>
        <w:tc>
          <w:tcPr>
            <w:tcW w:w="2131" w:type="dxa"/>
            <w:vAlign w:val="center"/>
          </w:tcPr>
          <w:p w14:paraId="1C0C8583">
            <w:pPr>
              <w:keepNext w:val="0"/>
              <w:keepLines w:val="0"/>
              <w:widowControl/>
              <w:suppressLineNumbers w:val="0"/>
              <w:jc w:val="center"/>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规模占比</w:t>
            </w:r>
          </w:p>
        </w:tc>
      </w:tr>
      <w:tr w14:paraId="1E595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57EE453">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{{chuangye_table.index}}</w:t>
            </w:r>
          </w:p>
        </w:tc>
        <w:tc>
          <w:tcPr>
            <w:tcW w:w="2130" w:type="dxa"/>
            <w:vAlign w:val="center"/>
          </w:tcPr>
          <w:p w14:paraId="78BD102E">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{{chuangye_table.name}}</w:t>
            </w:r>
          </w:p>
        </w:tc>
        <w:tc>
          <w:tcPr>
            <w:tcW w:w="2131" w:type="dxa"/>
            <w:vAlign w:val="center"/>
          </w:tcPr>
          <w:p w14:paraId="496BBD94">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{{chuangye_table.amount}}</w:t>
            </w:r>
          </w:p>
        </w:tc>
        <w:tc>
          <w:tcPr>
            <w:tcW w:w="2131" w:type="dxa"/>
            <w:vAlign w:val="center"/>
          </w:tcPr>
          <w:p w14:paraId="13CF7D28">
            <w:pPr>
              <w:keepNext w:val="0"/>
              <w:keepLines w:val="0"/>
              <w:widowControl/>
              <w:suppressLineNumbers w:val="0"/>
              <w:jc w:val="left"/>
              <w:rPr>
                <w:rFonts w:hint="eastAsia"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{{chuangye_table.share_ratio}}%</w:t>
            </w:r>
          </w:p>
        </w:tc>
      </w:tr>
      <w:tr w14:paraId="30BE8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9DCAC7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合计</w:t>
            </w:r>
          </w:p>
        </w:tc>
        <w:tc>
          <w:tcPr>
            <w:tcW w:w="2130" w:type="dxa"/>
            <w:vAlign w:val="center"/>
          </w:tcPr>
          <w:p w14:paraId="15D64F90">
            <w:pPr>
              <w:rPr>
                <w:rFonts w:ascii="宋体" w:hAnsi="宋体" w:eastAsia="宋体" w:cs="宋体"/>
                <w:kern w:val="0"/>
                <w:sz w:val="24"/>
                <w:szCs w:val="24"/>
                <w:lang w:val="en-US" w:eastAsia="zh-CN" w:bidi="ar"/>
              </w:rPr>
            </w:pPr>
          </w:p>
        </w:tc>
        <w:tc>
          <w:tcPr>
            <w:tcW w:w="2131" w:type="dxa"/>
            <w:vAlign w:val="center"/>
          </w:tcPr>
          <w:p w14:paraId="0B151C4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{{chuangye_table_total.total_amount}}</w:t>
            </w:r>
          </w:p>
        </w:tc>
        <w:tc>
          <w:tcPr>
            <w:tcW w:w="2131" w:type="dxa"/>
            <w:vAlign w:val="center"/>
          </w:tcPr>
          <w:p w14:paraId="61F57BD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100.00%</w:t>
            </w:r>
          </w:p>
        </w:tc>
      </w:tr>
    </w:tbl>
    <w:p w14:paraId="7370D8A5">
      <w:pPr>
        <w:rPr>
          <w:rFonts w:hint="eastAsia" w:ascii="仿宋_GB2312" w:hAnsi="仿宋_GB2312" w:eastAsia="仿宋_GB2312" w:cs="仿宋_GB2312"/>
          <w:color w:val="auto"/>
          <w:kern w:val="0"/>
          <w:szCs w:val="21"/>
          <w:highlight w:val="none"/>
        </w:rPr>
      </w:pPr>
      <w:r>
        <w:rPr>
          <w:rFonts w:hint="eastAsia" w:ascii="仿宋_GB2312" w:hAnsi="仿宋_GB2312" w:eastAsia="仿宋_GB2312" w:cs="仿宋_GB2312"/>
          <w:color w:val="auto"/>
          <w:szCs w:val="21"/>
          <w:highlight w:val="none"/>
        </w:rPr>
        <w:t>备注：1.合作担保机构</w:t>
      </w:r>
      <w:r>
        <w:rPr>
          <w:rFonts w:hint="eastAsia" w:ascii="仿宋_GB2312" w:hAnsi="仿宋_GB2312" w:eastAsia="仿宋_GB2312" w:cs="仿宋_GB2312"/>
          <w:color w:val="auto"/>
          <w:kern w:val="0"/>
          <w:szCs w:val="21"/>
          <w:highlight w:val="none"/>
        </w:rPr>
        <w:t>按</w:t>
      </w:r>
      <w:r>
        <w:rPr>
          <w:rFonts w:hint="eastAsia" w:ascii="仿宋_GB2312" w:hAnsi="仿宋_GB2312" w:eastAsia="仿宋_GB2312" w:cs="仿宋_GB2312"/>
          <w:color w:val="auto"/>
          <w:kern w:val="0"/>
          <w:szCs w:val="21"/>
          <w:highlight w:val="none"/>
          <w:lang w:eastAsia="zh-CN"/>
        </w:rPr>
        <w:t>上半年</w:t>
      </w:r>
      <w:r>
        <w:rPr>
          <w:rFonts w:hint="eastAsia" w:ascii="仿宋_GB2312" w:hAnsi="仿宋_GB2312" w:eastAsia="仿宋_GB2312" w:cs="仿宋_GB2312"/>
          <w:color w:val="auto"/>
          <w:kern w:val="0"/>
          <w:szCs w:val="21"/>
          <w:highlight w:val="none"/>
        </w:rPr>
        <w:t>合作业务规模降序排列</w:t>
      </w:r>
    </w:p>
    <w:p w14:paraId="437FA773">
      <w:pPr>
        <w:ind w:firstLine="630" w:firstLineChars="300"/>
        <w:rPr>
          <w:rFonts w:hint="eastAsia" w:ascii="仿宋_GB2312" w:hAnsi="仿宋_GB2312" w:eastAsia="仿宋_GB2312" w:cs="仿宋_GB2312"/>
          <w:color w:val="auto"/>
          <w:szCs w:val="21"/>
          <w:highlight w:val="none"/>
        </w:rPr>
      </w:pPr>
      <w:r>
        <w:rPr>
          <w:rFonts w:hint="eastAsia" w:ascii="仿宋_GB2312" w:hAnsi="仿宋_GB2312" w:eastAsia="仿宋_GB2312" w:cs="仿宋_GB2312"/>
          <w:color w:val="auto"/>
          <w:kern w:val="0"/>
          <w:szCs w:val="21"/>
          <w:highlight w:val="none"/>
        </w:rPr>
        <w:t>2.</w:t>
      </w:r>
      <w:r>
        <w:rPr>
          <w:rFonts w:hint="eastAsia" w:ascii="仿宋_GB2312" w:hAnsi="仿宋_GB2312" w:eastAsia="仿宋_GB2312" w:cs="仿宋_GB2312"/>
          <w:color w:val="auto"/>
          <w:szCs w:val="21"/>
          <w:highlight w:val="none"/>
        </w:rPr>
        <w:t>规模占比=各担保机构创业担保贷款业务规模/创业担保贷款总规模*100%</w:t>
      </w:r>
    </w:p>
    <w:p w14:paraId="2A55FB61">
      <w:pPr>
        <w:ind w:firstLine="645"/>
        <w:rPr>
          <w:rFonts w:ascii="仿宋" w:hAnsi="仿宋" w:eastAsia="仿宋" w:cs="仿宋"/>
          <w:color w:val="auto"/>
          <w:sz w:val="32"/>
          <w:szCs w:val="32"/>
          <w:highlight w:val="none"/>
        </w:rPr>
      </w:pPr>
      <w:r>
        <w:rPr>
          <w:rFonts w:hint="eastAsia" w:ascii="楷体" w:hAnsi="楷体" w:eastAsia="楷体" w:cs="仿宋_GB2312"/>
          <w:bCs/>
          <w:color w:val="auto"/>
          <w:sz w:val="32"/>
          <w:szCs w:val="32"/>
          <w:highlight w:val="none"/>
        </w:rPr>
        <w:t>（</w:t>
      </w:r>
      <w:r>
        <w:rPr>
          <w:rFonts w:hint="eastAsia" w:ascii="楷体" w:hAnsi="楷体" w:eastAsia="楷体" w:cs="仿宋_GB2312"/>
          <w:bCs/>
          <w:color w:val="auto"/>
          <w:sz w:val="32"/>
          <w:szCs w:val="32"/>
          <w:highlight w:val="none"/>
          <w:lang w:val="en-US" w:eastAsia="zh-CN"/>
        </w:rPr>
        <w:t>三</w:t>
      </w:r>
      <w:r>
        <w:rPr>
          <w:rFonts w:hint="eastAsia" w:ascii="楷体" w:hAnsi="楷体" w:eastAsia="楷体" w:cs="仿宋_GB2312"/>
          <w:bCs/>
          <w:color w:val="auto"/>
          <w:sz w:val="32"/>
          <w:szCs w:val="32"/>
          <w:highlight w:val="none"/>
        </w:rPr>
        <w:t>）</w:t>
      </w:r>
      <w:r>
        <w:rPr>
          <w:rFonts w:hint="eastAsia" w:ascii="楷体" w:hAnsi="楷体" w:eastAsia="楷体" w:cs="仿宋_GB2312"/>
          <w:bCs/>
          <w:color w:val="auto"/>
          <w:sz w:val="32"/>
          <w:szCs w:val="32"/>
          <w:highlight w:val="none"/>
          <w:lang w:val="en-US" w:eastAsia="zh-CN"/>
        </w:rPr>
        <w:t>科技创新担保计划</w:t>
      </w:r>
      <w:r>
        <w:rPr>
          <w:rFonts w:hint="eastAsia" w:ascii="楷体" w:hAnsi="楷体" w:eastAsia="楷体" w:cs="仿宋_GB2312"/>
          <w:bCs/>
          <w:color w:val="auto"/>
          <w:sz w:val="32"/>
          <w:szCs w:val="32"/>
          <w:highlight w:val="none"/>
        </w:rPr>
        <w:t>业务开展情况。</w:t>
      </w:r>
      <w:r>
        <w:rPr>
          <w:rFonts w:hint="eastAsia" w:ascii="仿宋_GB2312" w:hAnsi="仿宋_GB2312" w:eastAsia="仿宋_GB2312" w:cs="仿宋_GB2312"/>
          <w:color w:val="auto"/>
          <w:sz w:val="32"/>
          <w:szCs w:val="32"/>
          <w:highlight w:val="none"/>
          <w:lang w:eastAsia="zh-CN"/>
        </w:rPr>
        <w:t>上半年，体系内{{tech_guarantee_summary.institution_count}}家担保机构累计开展科技创新担保计划业务{{tech_guarantee_summary.total_amount}}亿元。合作业务规模排名在前三位的分别是：{{tech_guarantee_top3.first_name}}{{tech_guarantee_top3.first_amount}}亿元、{{tech_guarantee_top3.second_name}}{{tech_guarantee_top3.second_amount}}亿元、{{tech_guarantee_top3.third_name}}{{tech_guarantee_top3.third_amount}}亿元</w:t>
      </w:r>
      <w:r>
        <w:rPr>
          <w:rFonts w:hint="eastAsia" w:ascii="仿宋_GB2312" w:hAnsi="仿宋_GB2312" w:eastAsia="仿宋_GB2312" w:cs="仿宋_GB2312"/>
          <w:color w:val="auto"/>
          <w:sz w:val="32"/>
          <w:szCs w:val="32"/>
          <w:highlight w:val="none"/>
        </w:rPr>
        <w:t>。</w:t>
      </w:r>
    </w:p>
    <w:p w14:paraId="6E579F58">
      <w:pPr>
        <w:numPr>
          <w:ilvl w:val="0"/>
          <w:numId w:val="0"/>
        </w:numPr>
        <w:ind w:left="160" w:leftChars="0"/>
        <w:rPr>
          <w:rFonts w:hint="eastAsia" w:ascii="仿宋_GB2312" w:hAnsi="仿宋_GB2312" w:eastAsia="仿宋_GB2312" w:cs="仿宋_GB2312"/>
          <w:color w:val="auto"/>
          <w:sz w:val="32"/>
          <w:szCs w:val="32"/>
          <w:highlight w:val="none"/>
          <w:lang w:val="en-US" w:eastAsia="zh-CN"/>
        </w:rPr>
      </w:pPr>
    </w:p>
    <w:p w14:paraId="2A63F295">
      <w:pPr>
        <w:numPr>
          <w:ilvl w:val="0"/>
          <w:numId w:val="0"/>
        </w:numPr>
        <w:ind w:left="160" w:leftChars="0"/>
        <w:rPr>
          <w:rFonts w:hint="eastAsia" w:ascii="仿宋_GB2312" w:hAnsi="仿宋_GB2312" w:eastAsia="仿宋_GB2312" w:cs="仿宋_GB2312"/>
          <w:color w:val="auto"/>
          <w:sz w:val="32"/>
          <w:szCs w:val="32"/>
          <w:highlight w:val="none"/>
          <w:lang w:val="en-US" w:eastAsia="zh-CN"/>
        </w:rPr>
      </w:pPr>
      <w:r>
        <w:rPr>
          <w:rFonts w:hint="eastAsia" w:ascii="仿宋_GB2312" w:hAnsi="仿宋_GB2312" w:eastAsia="仿宋_GB2312" w:cs="仿宋_GB2312"/>
          <w:color w:val="auto"/>
          <w:sz w:val="32"/>
          <w:szCs w:val="32"/>
          <w:highlight w:val="none"/>
          <w:lang w:val="en-US" w:eastAsia="zh-CN"/>
        </w:rPr>
        <w:t>表十二：“科技创新专项担保计划”业务统计表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9"/>
        <w:gridCol w:w="1814"/>
        <w:gridCol w:w="2585"/>
        <w:gridCol w:w="2254"/>
      </w:tblGrid>
      <w:tr w14:paraId="18CF5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9D99138">
            <w:pPr>
              <w:keepNext w:val="0"/>
              <w:keepLines w:val="0"/>
              <w:widowControl/>
              <w:suppressLineNumbers w:val="0"/>
              <w:jc w:val="center"/>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序号</w:t>
            </w:r>
          </w:p>
        </w:tc>
        <w:tc>
          <w:tcPr>
            <w:tcW w:w="2130" w:type="dxa"/>
            <w:vAlign w:val="center"/>
          </w:tcPr>
          <w:p w14:paraId="764A825B">
            <w:pPr>
              <w:keepNext w:val="0"/>
              <w:keepLines w:val="0"/>
              <w:widowControl/>
              <w:suppressLineNumbers w:val="0"/>
              <w:jc w:val="center"/>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担保机构简称</w:t>
            </w:r>
          </w:p>
        </w:tc>
        <w:tc>
          <w:tcPr>
            <w:tcW w:w="2131" w:type="dxa"/>
            <w:vAlign w:val="center"/>
          </w:tcPr>
          <w:p w14:paraId="39B813FF">
            <w:pPr>
              <w:keepNext w:val="0"/>
              <w:keepLines w:val="0"/>
              <w:widowControl/>
              <w:suppressLineNumbers w:val="0"/>
              <w:jc w:val="center"/>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合作业务规模</w:t>
            </w:r>
          </w:p>
        </w:tc>
        <w:tc>
          <w:tcPr>
            <w:tcW w:w="2131" w:type="dxa"/>
            <w:vAlign w:val="center"/>
          </w:tcPr>
          <w:p w14:paraId="51A218AD">
            <w:pPr>
              <w:keepNext w:val="0"/>
              <w:keepLines w:val="0"/>
              <w:widowControl/>
              <w:suppressLineNumbers w:val="0"/>
              <w:jc w:val="center"/>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b/>
                <w:bCs/>
                <w:kern w:val="0"/>
                <w:sz w:val="24"/>
                <w:szCs w:val="24"/>
                <w:lang w:val="en-US" w:eastAsia="zh-CN" w:bidi="ar"/>
              </w:rPr>
              <w:t>规模占比</w:t>
            </w:r>
          </w:p>
        </w:tc>
      </w:tr>
      <w:tr w14:paraId="319C1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F53E14A">
            <w:pPr>
              <w:keepNext w:val="0"/>
              <w:keepLines w:val="0"/>
              <w:widowControl/>
              <w:suppressLineNumbers w:val="0"/>
              <w:jc w:val="left"/>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{{tech_guarantee_table.index}}</w:t>
            </w:r>
          </w:p>
        </w:tc>
        <w:tc>
          <w:tcPr>
            <w:tcW w:w="2130" w:type="dxa"/>
            <w:vAlign w:val="center"/>
          </w:tcPr>
          <w:p w14:paraId="40AEEB8D">
            <w:pPr>
              <w:keepNext w:val="0"/>
              <w:keepLines w:val="0"/>
              <w:widowControl/>
              <w:suppressLineNumbers w:val="0"/>
              <w:jc w:val="left"/>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{{tech_guarantee_table.name}}</w:t>
            </w:r>
          </w:p>
        </w:tc>
        <w:tc>
          <w:tcPr>
            <w:tcW w:w="2131" w:type="dxa"/>
            <w:vAlign w:val="center"/>
          </w:tcPr>
          <w:p w14:paraId="6E4B2E7F">
            <w:pPr>
              <w:keepNext w:val="0"/>
              <w:keepLines w:val="0"/>
              <w:widowControl/>
              <w:suppressLineNumbers w:val="0"/>
              <w:jc w:val="left"/>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{{tech_guarantee_table.amount}}</w:t>
            </w:r>
          </w:p>
        </w:tc>
        <w:tc>
          <w:tcPr>
            <w:tcW w:w="2131" w:type="dxa"/>
            <w:vAlign w:val="center"/>
          </w:tcPr>
          <w:p w14:paraId="39B618CC">
            <w:pPr>
              <w:keepNext w:val="0"/>
              <w:keepLines w:val="0"/>
              <w:widowControl/>
              <w:suppressLineNumbers w:val="0"/>
              <w:jc w:val="left"/>
              <w:rPr>
                <w:rFonts w:hint="default" w:ascii="仿宋_GB2312" w:hAnsi="仿宋_GB2312" w:eastAsia="仿宋_GB2312" w:cs="仿宋_GB2312"/>
                <w:color w:val="auto"/>
                <w:sz w:val="32"/>
                <w:szCs w:val="32"/>
                <w:highlight w:val="none"/>
                <w:vertAlign w:val="baseline"/>
                <w:lang w:val="en-US" w:eastAsia="zh-CN"/>
              </w:rPr>
            </w:pPr>
            <w:r>
              <w:rPr>
                <w:rFonts w:ascii="宋体" w:hAnsi="宋体" w:eastAsia="宋体" w:cs="宋体"/>
                <w:kern w:val="0"/>
                <w:sz w:val="24"/>
                <w:szCs w:val="24"/>
                <w:lang w:val="en-US" w:eastAsia="zh-CN" w:bidi="ar"/>
              </w:rPr>
              <w:t>{{tech_guarantee_table.share_ratio}}%</w:t>
            </w:r>
          </w:p>
        </w:tc>
      </w:tr>
      <w:tr w14:paraId="192E7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587BEE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合计</w:t>
            </w:r>
          </w:p>
        </w:tc>
        <w:tc>
          <w:tcPr>
            <w:tcW w:w="2130" w:type="dxa"/>
            <w:vAlign w:val="center"/>
          </w:tcPr>
          <w:p w14:paraId="18DFF5BC">
            <w:pPr>
              <w:rPr>
                <w:rFonts w:ascii="宋体" w:hAnsi="宋体" w:eastAsia="宋体" w:cs="宋体"/>
                <w:kern w:val="0"/>
                <w:sz w:val="24"/>
                <w:szCs w:val="24"/>
                <w:lang w:val="en-US" w:eastAsia="zh-CN" w:bidi="ar"/>
              </w:rPr>
            </w:pPr>
          </w:p>
        </w:tc>
        <w:tc>
          <w:tcPr>
            <w:tcW w:w="2131" w:type="dxa"/>
            <w:vAlign w:val="center"/>
          </w:tcPr>
          <w:p w14:paraId="741F2EB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{{tech_guarantee_table_total.total_amount}}</w:t>
            </w:r>
          </w:p>
        </w:tc>
        <w:tc>
          <w:tcPr>
            <w:tcW w:w="2131" w:type="dxa"/>
            <w:vAlign w:val="center"/>
          </w:tcPr>
          <w:p w14:paraId="5CDBEAE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100.00%</w:t>
            </w:r>
          </w:p>
        </w:tc>
      </w:tr>
    </w:tbl>
    <w:p w14:paraId="0C933FCE">
      <w:pPr>
        <w:rPr>
          <w:rFonts w:hint="eastAsia" w:ascii="仿宋_GB2312" w:hAnsi="仿宋_GB2312" w:eastAsia="仿宋_GB2312" w:cs="仿宋_GB2312"/>
          <w:color w:val="auto"/>
          <w:kern w:val="0"/>
          <w:szCs w:val="21"/>
          <w:highlight w:val="none"/>
        </w:rPr>
      </w:pPr>
      <w:r>
        <w:rPr>
          <w:rFonts w:hint="eastAsia" w:ascii="仿宋_GB2312" w:hAnsi="仿宋_GB2312" w:eastAsia="仿宋_GB2312" w:cs="仿宋_GB2312"/>
          <w:color w:val="auto"/>
          <w:szCs w:val="21"/>
          <w:highlight w:val="none"/>
        </w:rPr>
        <w:t>备注：1.合作担保机构</w:t>
      </w:r>
      <w:r>
        <w:rPr>
          <w:rFonts w:hint="eastAsia" w:ascii="仿宋_GB2312" w:hAnsi="仿宋_GB2312" w:eastAsia="仿宋_GB2312" w:cs="仿宋_GB2312"/>
          <w:color w:val="auto"/>
          <w:kern w:val="0"/>
          <w:szCs w:val="21"/>
          <w:highlight w:val="none"/>
        </w:rPr>
        <w:t>按</w:t>
      </w:r>
      <w:r>
        <w:rPr>
          <w:rFonts w:hint="eastAsia" w:ascii="仿宋_GB2312" w:hAnsi="仿宋_GB2312" w:eastAsia="仿宋_GB2312" w:cs="仿宋_GB2312"/>
          <w:color w:val="auto"/>
          <w:kern w:val="0"/>
          <w:szCs w:val="21"/>
          <w:highlight w:val="none"/>
          <w:lang w:eastAsia="zh-CN"/>
        </w:rPr>
        <w:t>上半年</w:t>
      </w:r>
      <w:r>
        <w:rPr>
          <w:rFonts w:hint="eastAsia" w:ascii="仿宋_GB2312" w:hAnsi="仿宋_GB2312" w:eastAsia="仿宋_GB2312" w:cs="仿宋_GB2312"/>
          <w:color w:val="auto"/>
          <w:kern w:val="0"/>
          <w:szCs w:val="21"/>
          <w:highlight w:val="none"/>
        </w:rPr>
        <w:t>合作业务规模降序排列</w:t>
      </w:r>
    </w:p>
    <w:p w14:paraId="7510E78A">
      <w:pPr>
        <w:ind w:firstLine="630" w:firstLineChars="300"/>
        <w:rPr>
          <w:rFonts w:ascii="仿宋" w:hAnsi="仿宋" w:eastAsia="仿宋" w:cs="仿宋"/>
          <w:color w:val="auto"/>
          <w:sz w:val="32"/>
          <w:szCs w:val="32"/>
          <w:highlight w:val="none"/>
        </w:rPr>
      </w:pPr>
      <w:r>
        <w:rPr>
          <w:rFonts w:hint="eastAsia" w:ascii="仿宋_GB2312" w:hAnsi="仿宋_GB2312" w:eastAsia="仿宋_GB2312" w:cs="仿宋_GB2312"/>
          <w:color w:val="auto"/>
          <w:kern w:val="0"/>
          <w:szCs w:val="21"/>
          <w:highlight w:val="none"/>
        </w:rPr>
        <w:t>2.</w:t>
      </w:r>
      <w:r>
        <w:rPr>
          <w:rFonts w:hint="eastAsia" w:ascii="仿宋_GB2312" w:hAnsi="仿宋_GB2312" w:eastAsia="仿宋_GB2312" w:cs="仿宋_GB2312"/>
          <w:color w:val="auto"/>
          <w:szCs w:val="21"/>
          <w:highlight w:val="none"/>
        </w:rPr>
        <w:t>规模占比=各担保机构</w:t>
      </w:r>
      <w:r>
        <w:rPr>
          <w:rFonts w:hint="eastAsia" w:ascii="仿宋_GB2312" w:hAnsi="仿宋_GB2312" w:eastAsia="仿宋_GB2312" w:cs="仿宋_GB2312"/>
          <w:color w:val="auto"/>
          <w:szCs w:val="21"/>
          <w:highlight w:val="none"/>
          <w:lang w:val="en-US" w:eastAsia="zh-CN"/>
        </w:rPr>
        <w:t>科技创新</w:t>
      </w:r>
      <w:r>
        <w:rPr>
          <w:rFonts w:hint="eastAsia" w:ascii="仿宋_GB2312" w:hAnsi="仿宋_GB2312" w:eastAsia="仿宋_GB2312" w:cs="仿宋_GB2312"/>
          <w:color w:val="auto"/>
          <w:szCs w:val="21"/>
          <w:highlight w:val="none"/>
        </w:rPr>
        <w:t>担保</w:t>
      </w:r>
      <w:r>
        <w:rPr>
          <w:rFonts w:hint="eastAsia" w:ascii="仿宋_GB2312" w:hAnsi="仿宋_GB2312" w:eastAsia="仿宋_GB2312" w:cs="仿宋_GB2312"/>
          <w:color w:val="auto"/>
          <w:szCs w:val="21"/>
          <w:highlight w:val="none"/>
          <w:lang w:val="en-US" w:eastAsia="zh-CN"/>
        </w:rPr>
        <w:t>计划</w:t>
      </w:r>
      <w:r>
        <w:rPr>
          <w:rFonts w:hint="eastAsia" w:ascii="仿宋_GB2312" w:hAnsi="仿宋_GB2312" w:eastAsia="仿宋_GB2312" w:cs="仿宋_GB2312"/>
          <w:color w:val="auto"/>
          <w:szCs w:val="21"/>
          <w:highlight w:val="none"/>
        </w:rPr>
        <w:t>贷款业务规模/</w:t>
      </w:r>
      <w:r>
        <w:rPr>
          <w:rFonts w:hint="eastAsia" w:ascii="仿宋_GB2312" w:hAnsi="仿宋_GB2312" w:eastAsia="仿宋_GB2312" w:cs="仿宋_GB2312"/>
          <w:color w:val="auto"/>
          <w:szCs w:val="21"/>
          <w:highlight w:val="none"/>
          <w:lang w:val="en-US" w:eastAsia="zh-CN"/>
        </w:rPr>
        <w:t>科技创新</w:t>
      </w:r>
      <w:r>
        <w:rPr>
          <w:rFonts w:hint="eastAsia" w:ascii="仿宋_GB2312" w:hAnsi="仿宋_GB2312" w:eastAsia="仿宋_GB2312" w:cs="仿宋_GB2312"/>
          <w:color w:val="auto"/>
          <w:szCs w:val="21"/>
          <w:highlight w:val="none"/>
        </w:rPr>
        <w:t>担保</w:t>
      </w:r>
      <w:r>
        <w:rPr>
          <w:rFonts w:hint="eastAsia" w:ascii="仿宋_GB2312" w:hAnsi="仿宋_GB2312" w:eastAsia="仿宋_GB2312" w:cs="仿宋_GB2312"/>
          <w:color w:val="auto"/>
          <w:szCs w:val="21"/>
          <w:highlight w:val="none"/>
          <w:lang w:val="en-US" w:eastAsia="zh-CN"/>
        </w:rPr>
        <w:t>计划</w:t>
      </w:r>
      <w:r>
        <w:rPr>
          <w:rFonts w:hint="eastAsia" w:ascii="仿宋_GB2312" w:hAnsi="仿宋_GB2312" w:eastAsia="仿宋_GB2312" w:cs="仿宋_GB2312"/>
          <w:color w:val="auto"/>
          <w:szCs w:val="21"/>
          <w:highlight w:val="none"/>
        </w:rPr>
        <w:t>贷款总规模*100%</w:t>
      </w:r>
    </w:p>
    <w:p w14:paraId="71AF1E03">
      <w:pPr>
        <w:rPr>
          <w:rFonts w:ascii="仿宋" w:hAnsi="仿宋" w:eastAsia="仿宋" w:cs="仿宋"/>
          <w:color w:val="auto"/>
          <w:sz w:val="32"/>
          <w:szCs w:val="32"/>
          <w:highlight w:val="none"/>
        </w:rPr>
      </w:pPr>
      <w:r>
        <w:rPr>
          <w:rFonts w:ascii="Calibri" w:hAnsi="Calibri" w:eastAsia="宋体"/>
          <w:color w:val="auto"/>
          <w:szCs w:val="22"/>
          <w:highlight w:val="none"/>
        </w:rPr>
        <mc:AlternateContent>
          <mc:Choice Requires="wps">
            <w:drawing>
              <wp:anchor distT="0" distB="0" distL="114300" distR="114300" simplePos="0" relativeHeight="251661312" behindDoc="0" locked="0" layoutInCell="1" allowOverlap="1">
                <wp:simplePos x="0" y="0"/>
                <wp:positionH relativeFrom="margin">
                  <wp:posOffset>-115570</wp:posOffset>
                </wp:positionH>
                <wp:positionV relativeFrom="paragraph">
                  <wp:posOffset>377190</wp:posOffset>
                </wp:positionV>
                <wp:extent cx="5505450" cy="0"/>
                <wp:effectExtent l="0" t="4445" r="0" b="5080"/>
                <wp:wrapNone/>
                <wp:docPr id="6" name="自选图形 3"/>
                <wp:cNvGraphicFramePr/>
                <a:graphic xmlns:a="http://schemas.openxmlformats.org/drawingml/2006/main">
                  <a:graphicData uri="http://schemas.microsoft.com/office/word/2010/wordprocessingShape">
                    <wps:wsp>
                      <wps:cNvCnPr/>
                      <wps:spPr>
                        <a:xfrm>
                          <a:off x="0" y="0"/>
                          <a:ext cx="5505450" cy="0"/>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3" o:spid="_x0000_s1026" o:spt="32" type="#_x0000_t32" style="position:absolute;left:0pt;margin-left:-9.1pt;margin-top:29.7pt;height:0pt;width:433.5pt;mso-position-horizontal-relative:margin;z-index:251661312;mso-width-relative:page;mso-height-relative:page;" filled="f" stroked="t" coordsize="21600,21600" o:gfxdata="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OVKrlPXAAAACQEAAA8AAAAAAAAAAQAgAAAAIgAAAGRycy9kb3ducmV2Lnht&#10;bFBLAQIUABQAAAAIAIdO4kC7Sj5a+gEAAPEDAAAOAAAAAAAAAAEAIAAAACYBAABkcnMvZTJvRG9j&#10;LnhtbFBLBQYAAAAABgAGAFkBAACSBQAAAAA=&#10;">
                <v:fill on="f" focussize="0,0"/>
                <v:stroke color="#000000" joinstyle="round"/>
                <v:imagedata o:title=""/>
                <o:lock v:ext="edit" aspectratio="f"/>
              </v:shape>
            </w:pict>
          </mc:Fallback>
        </mc:AlternateContent>
      </w:r>
    </w:p>
    <w:p w14:paraId="64F37DF4">
      <w:pPr>
        <w:rPr>
          <w:rFonts w:ascii="仿宋" w:hAnsi="仿宋" w:eastAsia="仿宋" w:cs="仿宋"/>
          <w:color w:val="auto"/>
          <w:sz w:val="32"/>
          <w:szCs w:val="32"/>
          <w:highlight w:val="none"/>
        </w:rPr>
      </w:pPr>
      <w:r>
        <w:rPr>
          <w:rFonts w:hint="eastAsia" w:ascii="仿宋" w:hAnsi="仿宋" w:eastAsia="仿宋" w:cs="仿宋"/>
          <w:color w:val="auto"/>
          <w:sz w:val="32"/>
          <w:szCs w:val="32"/>
          <w:highlight w:val="none"/>
        </w:rPr>
        <w:t>报送：国家融资担保基金、中国融资担保业协会；省财政厅、省地方</w:t>
      </w:r>
      <w:r>
        <w:rPr>
          <w:rFonts w:hint="eastAsia" w:ascii="仿宋" w:hAnsi="仿宋" w:eastAsia="仿宋" w:cs="仿宋"/>
          <w:color w:val="auto"/>
          <w:sz w:val="32"/>
          <w:szCs w:val="32"/>
          <w:highlight w:val="none"/>
          <w:lang w:val="en-US" w:eastAsia="zh-CN"/>
        </w:rPr>
        <w:t>金融管理局</w:t>
      </w:r>
      <w:r>
        <w:rPr>
          <w:rFonts w:hint="eastAsia" w:ascii="仿宋" w:hAnsi="仿宋" w:eastAsia="仿宋" w:cs="仿宋"/>
          <w:color w:val="auto"/>
          <w:sz w:val="32"/>
          <w:szCs w:val="32"/>
          <w:highlight w:val="none"/>
        </w:rPr>
        <w:t>、省工信厅、人行</w:t>
      </w:r>
      <w:r>
        <w:rPr>
          <w:rFonts w:hint="eastAsia" w:ascii="仿宋" w:hAnsi="仿宋" w:eastAsia="仿宋" w:cs="仿宋"/>
          <w:color w:val="auto"/>
          <w:sz w:val="32"/>
          <w:szCs w:val="32"/>
          <w:highlight w:val="none"/>
          <w:lang w:val="en-US" w:eastAsia="zh-CN"/>
        </w:rPr>
        <w:t>陕西</w:t>
      </w:r>
      <w:r>
        <w:rPr>
          <w:rFonts w:hint="eastAsia" w:ascii="仿宋" w:hAnsi="仿宋" w:eastAsia="仿宋" w:cs="仿宋"/>
          <w:color w:val="auto"/>
          <w:sz w:val="32"/>
          <w:szCs w:val="32"/>
          <w:highlight w:val="none"/>
        </w:rPr>
        <w:t>分行、</w:t>
      </w:r>
      <w:r>
        <w:rPr>
          <w:rFonts w:hint="eastAsia" w:ascii="仿宋" w:hAnsi="仿宋" w:eastAsia="仿宋" w:cs="仿宋"/>
          <w:color w:val="auto"/>
          <w:sz w:val="32"/>
          <w:szCs w:val="32"/>
          <w:highlight w:val="none"/>
          <w:lang w:val="en-US" w:eastAsia="zh-CN"/>
        </w:rPr>
        <w:t>国家金融监督管理总局陕西监管局</w:t>
      </w:r>
      <w:r>
        <w:rPr>
          <w:rFonts w:hint="eastAsia" w:ascii="仿宋" w:hAnsi="仿宋" w:eastAsia="仿宋" w:cs="仿宋"/>
          <w:color w:val="auto"/>
          <w:sz w:val="32"/>
          <w:szCs w:val="32"/>
          <w:highlight w:val="none"/>
        </w:rPr>
        <w:t>。</w:t>
      </w:r>
    </w:p>
    <w:p w14:paraId="3646513A">
      <w:pPr>
        <w:rPr>
          <w:rFonts w:ascii="仿宋" w:hAnsi="仿宋" w:eastAsia="仿宋" w:cs="仿宋"/>
          <w:color w:val="auto"/>
          <w:sz w:val="32"/>
          <w:szCs w:val="32"/>
          <w:highlight w:val="none"/>
        </w:rPr>
      </w:pPr>
      <w:r>
        <w:rPr>
          <w:rFonts w:hint="eastAsia" w:ascii="仿宋" w:hAnsi="仿宋" w:eastAsia="仿宋" w:cs="仿宋"/>
          <w:color w:val="auto"/>
          <w:sz w:val="32"/>
          <w:szCs w:val="32"/>
          <w:highlight w:val="none"/>
        </w:rPr>
        <w:t>发送：各市县（区）政府、各国家级省级园区管委会、各银行业金融机构，全省政府性融资担保公司。</w:t>
      </w:r>
    </w:p>
    <w:p w14:paraId="47047034">
      <w:pPr>
        <w:ind w:firstLine="645"/>
        <w:rPr>
          <w:highlight w:val="none"/>
        </w:rPr>
      </w:pPr>
      <w:r>
        <w:rPr>
          <w:rFonts w:ascii="Calibri" w:hAnsi="Calibri" w:eastAsia="宋体"/>
          <w:szCs w:val="22"/>
          <w:highlight w:val="none"/>
        </w:rPr>
        <mc:AlternateContent>
          <mc:Choice Requires="wps">
            <w:drawing>
              <wp:anchor distT="0" distB="0" distL="114300" distR="114300" simplePos="0" relativeHeight="251662336" behindDoc="0" locked="0" layoutInCell="1" allowOverlap="1">
                <wp:simplePos x="0" y="0"/>
                <wp:positionH relativeFrom="margin">
                  <wp:posOffset>-115570</wp:posOffset>
                </wp:positionH>
                <wp:positionV relativeFrom="paragraph">
                  <wp:posOffset>62865</wp:posOffset>
                </wp:positionV>
                <wp:extent cx="5505450" cy="0"/>
                <wp:effectExtent l="0" t="4445" r="0" b="5080"/>
                <wp:wrapNone/>
                <wp:docPr id="5" name="自选图形 4"/>
                <wp:cNvGraphicFramePr/>
                <a:graphic xmlns:a="http://schemas.openxmlformats.org/drawingml/2006/main">
                  <a:graphicData uri="http://schemas.microsoft.com/office/word/2010/wordprocessingShape">
                    <wps:wsp>
                      <wps:cNvCnPr/>
                      <wps:spPr>
                        <a:xfrm>
                          <a:off x="0" y="0"/>
                          <a:ext cx="5505450" cy="0"/>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4" o:spid="_x0000_s1026" o:spt="32" type="#_x0000_t32" style="position:absolute;left:0pt;margin-left:-9.1pt;margin-top:4.95pt;height:0pt;width:433.5pt;mso-position-horizontal-relative:margin;z-index:251662336;mso-width-relative:page;mso-height-relative:page;" filled="f" stroked="t" coordsize="21600,21600" o:gfxdata="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Q7Nz/VAAAABwEAAA8AAAAAAAAAAQAgAAAAIgAAAGRycy9kb3ducmV2LnhtbFBL&#10;AQIUABQAAAAIAIdO4kAl+Pqe+QEAAPEDAAAOAAAAAAAAAAEAIAAAACQBAABkcnMvZTJvRG9jLnht&#10;bFBLBQYAAAAABgAGAFkBAACPBQAAAAA=&#10;">
                <v:fill on="f" focussize="0,0"/>
                <v:stroke color="#000000" joinstyle="round"/>
                <v:imagedata o:title=""/>
                <o:lock v:ext="edit" aspectratio="f"/>
              </v:shape>
            </w:pict>
          </mc:Fallback>
        </mc:AlternateContent>
      </w:r>
    </w:p>
    <w:p w14:paraId="2ADD6C1B">
      <w:pPr>
        <w:ind w:firstLine="960" w:firstLineChars="300"/>
        <w:rPr>
          <w:rFonts w:ascii="仿宋" w:hAnsi="仿宋" w:eastAsia="仿宋" w:cs="仿宋"/>
          <w:color w:val="auto"/>
          <w:sz w:val="32"/>
          <w:szCs w:val="32"/>
          <w:highlight w:val="none"/>
        </w:rPr>
      </w:pPr>
    </w:p>
    <w:p w14:paraId="6F6A14E6">
      <w:pPr>
        <w:numPr>
          <w:ilvl w:val="0"/>
          <w:numId w:val="0"/>
        </w:numPr>
        <w:ind w:left="160" w:leftChars="0"/>
        <w:rPr>
          <w:rFonts w:hint="default" w:ascii="仿宋_GB2312" w:hAnsi="仿宋_GB2312" w:eastAsia="仿宋_GB2312" w:cs="仿宋_GB2312"/>
          <w:color w:val="auto"/>
          <w:sz w:val="32"/>
          <w:szCs w:val="32"/>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B0BDF1"/>
    <w:multiLevelType w:val="singleLevel"/>
    <w:tmpl w:val="D2B0BDF1"/>
    <w:lvl w:ilvl="0" w:tentative="0">
      <w:start w:val="1"/>
      <w:numFmt w:val="chineseCounting"/>
      <w:suff w:val="nothing"/>
      <w:lvlText w:val="%1、"/>
      <w:lvlJc w:val="left"/>
      <w:rPr>
        <w:rFonts w:hint="eastAsia"/>
      </w:rPr>
    </w:lvl>
  </w:abstractNum>
  <w:abstractNum w:abstractNumId="1">
    <w:nsid w:val="F59347C9"/>
    <w:multiLevelType w:val="singleLevel"/>
    <w:tmpl w:val="F59347C9"/>
    <w:lvl w:ilvl="0" w:tentative="0">
      <w:start w:val="1"/>
      <w:numFmt w:val="chineseCounting"/>
      <w:suff w:val="nothing"/>
      <w:lvlText w:val="（%1）"/>
      <w:lvlJc w:val="left"/>
      <w:rPr>
        <w:rFonts w:hint="eastAsia"/>
      </w:rPr>
    </w:lvl>
  </w:abstractNum>
  <w:abstractNum w:abstractNumId="2">
    <w:nsid w:val="45DC6E55"/>
    <w:multiLevelType w:val="singleLevel"/>
    <w:tmpl w:val="45DC6E55"/>
    <w:lvl w:ilvl="0" w:tentative="0">
      <w:start w:val="1"/>
      <w:numFmt w:val="chineseCounting"/>
      <w:suff w:val="nothing"/>
      <w:lvlText w:val="（%1）"/>
      <w:lvlJc w:val="left"/>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B5A10"/>
    <w:rsid w:val="03B64244"/>
    <w:rsid w:val="03ED3EEA"/>
    <w:rsid w:val="043C1318"/>
    <w:rsid w:val="05557F9E"/>
    <w:rsid w:val="069041B7"/>
    <w:rsid w:val="08457580"/>
    <w:rsid w:val="09D84143"/>
    <w:rsid w:val="0D936608"/>
    <w:rsid w:val="0DF72D4B"/>
    <w:rsid w:val="0F951B03"/>
    <w:rsid w:val="130332EC"/>
    <w:rsid w:val="19424463"/>
    <w:rsid w:val="1F5E3DDA"/>
    <w:rsid w:val="21116A32"/>
    <w:rsid w:val="25FC28AD"/>
    <w:rsid w:val="26D45CDB"/>
    <w:rsid w:val="274E7523"/>
    <w:rsid w:val="2ACB46DB"/>
    <w:rsid w:val="2D265D01"/>
    <w:rsid w:val="313C1575"/>
    <w:rsid w:val="35B1385C"/>
    <w:rsid w:val="381650F0"/>
    <w:rsid w:val="396713B1"/>
    <w:rsid w:val="3B1D440E"/>
    <w:rsid w:val="407242BD"/>
    <w:rsid w:val="41934BB4"/>
    <w:rsid w:val="49FE3D2D"/>
    <w:rsid w:val="4EAB062E"/>
    <w:rsid w:val="53714D2C"/>
    <w:rsid w:val="572944B3"/>
    <w:rsid w:val="5895206A"/>
    <w:rsid w:val="5A13414F"/>
    <w:rsid w:val="5CCB3F43"/>
    <w:rsid w:val="5E2F71B6"/>
    <w:rsid w:val="5EB96D70"/>
    <w:rsid w:val="5ECF75EF"/>
    <w:rsid w:val="601A0906"/>
    <w:rsid w:val="61380692"/>
    <w:rsid w:val="61A16FA3"/>
    <w:rsid w:val="679F3CA1"/>
    <w:rsid w:val="6D105FA8"/>
    <w:rsid w:val="6E5E7AD6"/>
    <w:rsid w:val="743B767E"/>
    <w:rsid w:val="766D79C1"/>
    <w:rsid w:val="774861B6"/>
    <w:rsid w:val="77A103E0"/>
    <w:rsid w:val="7F7E3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qFormat/>
    <w:uiPriority w:val="99"/>
    <w:pPr>
      <w:tabs>
        <w:tab w:val="center" w:pos="4153"/>
        <w:tab w:val="right" w:pos="8306"/>
      </w:tabs>
      <w:snapToGrid w:val="0"/>
      <w:jc w:val="left"/>
    </w:pPr>
    <w:rPr>
      <w:sz w:val="18"/>
    </w:r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2145</Words>
  <Characters>3979</Characters>
  <Lines>0</Lines>
  <Paragraphs>0</Paragraphs>
  <TotalTime>0</TotalTime>
  <ScaleCrop>false</ScaleCrop>
  <LinksUpToDate>false</LinksUpToDate>
  <CharactersWithSpaces>3995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2026-03-30T01:42:00Z</dcterms:created>
  <dc:creator>zhangyanlin</dc:creator>
  <cp:lastModifiedBy>Andy Zhang</cp:lastModifiedBy>
  <dcterms:modified xsi:type="dcterms:W3CDTF">2026-03-31T07:25:29Z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eyJoZGlkIjoiNjI1OTc2MDZhN2Q3ZWRmODRlMjgxZDEyOTAwYmI0MGYiLCJ1c2VySWQiOiIyNTkxMjE0MjQifQ==</vt:lpwstr>
  </property>
  <property fmtid="{D5CDD505-2E9C-101B-9397-08002B2CF9AE}" pid="4" name="ICV">
    <vt:lpwstr>AEE6BA4CE92E4EBBAA1C7B47C8ACA994_12</vt:lpwstr>
  </property>
</Properties>
</file>