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rFonts w:ascii="Calibri" w:hAnsi="Calibri"/>
          <w:b/>
          <w:color w:val="1F4E79"/>
          <w:sz w:val="20"/>
        </w:rPr>
        <w:t>TECHNICAL PORTFOLIO REPORT</w:t>
      </w:r>
    </w:p>
    <w:p>
      <w:pPr>
        <w:spacing w:before="1160" w:after="200"/>
      </w:pPr>
      <w:r>
        <w:rPr>
          <w:rFonts w:ascii="Calibri" w:hAnsi="Calibri"/>
          <w:b/>
          <w:color w:val="1F2937"/>
          <w:sz w:val="58"/>
        </w:rPr>
        <w:t>Energy Management Strategy for a</w:t>
        <w:br/>
        <w:t>Grid-connected PV-BESS System</w:t>
      </w:r>
    </w:p>
    <w:p>
      <w:pPr>
        <w:spacing w:after="440"/>
      </w:pPr>
      <w:r>
        <w:rPr>
          <w:rFonts w:ascii="Calibri" w:hAnsi="Calibri"/>
          <w:color w:val="667085"/>
          <w:sz w:val="28"/>
        </w:rPr>
        <w:t>Constraint-based Sizing, Multi-day Validation, and Price-aware Grid Precharging</w:t>
      </w:r>
    </w:p>
    <w:tbl>
      <w:tblPr>
        <w:tblStyle w:val="TableGrid"/>
        <w:tblW w:type="dxa" w:w="9288"/>
        <w:jc w:val="center"/>
        <w:tblLayout w:type="fixed"/>
        <w:tblLook w:firstColumn="1" w:firstRow="1" w:lastColumn="0" w:lastRow="0" w:noHBand="0" w:noVBand="1" w:val="04A0"/>
        <w:tblInd w:w="0" w:type="dxa"/>
      </w:tblPr>
      <w:tblGrid>
        <w:gridCol w:w="9288"/>
      </w:tblGrid>
      <w:tr>
        <w:trPr>
          <w:cantSplit/>
        </w:trPr>
        <w:tc>
          <w:tcPr>
            <w:tcW w:type="dxa" w:w="9288"/>
            <w:shd w:fill="1F4E79"/>
            <w:tcMar>
              <w:top w:w="130" w:type="dxa"/>
              <w:start w:w="160" w:type="dxa"/>
              <w:bottom w:w="130" w:type="dxa"/>
              <w:end w:w="160" w:type="dxa"/>
            </w:tcMar>
          </w:tcPr>
          <w:p>
            <w:pPr>
              <w:spacing w:after="60"/>
            </w:pPr>
            <w:r>
              <w:rPr>
                <w:rFonts w:ascii="Calibri" w:hAnsi="Calibri"/>
                <w:b/>
                <w:color w:val="FFFFFF"/>
                <w:sz w:val="18"/>
              </w:rPr>
              <w:t>FINAL PROTOTYPE</w:t>
            </w:r>
          </w:p>
          <w:p>
            <w:pPr>
              <w:spacing w:after="0"/>
            </w:pPr>
            <w:r>
              <w:rPr>
                <w:rFonts w:ascii="Calibri" w:hAnsi="Calibri"/>
                <w:b/>
                <w:color w:val="FFFFFF"/>
                <w:sz w:val="24"/>
              </w:rPr>
              <w:t>340 kWh / 70 kW BESS  |  100 kW grid-import limit  |  20%–90% SOC range</w:t>
            </w:r>
          </w:p>
        </w:tc>
      </w:tr>
    </w:tbl>
    <w:p>
      <w:pPr>
        <w:spacing w:before="760" w:after="60"/>
      </w:pPr>
      <w:r>
        <w:rPr>
          <w:rFonts w:ascii="Calibri" w:hAnsi="Calibri"/>
          <w:b/>
          <w:color w:val="1F2937"/>
          <w:sz w:val="22"/>
        </w:rPr>
        <w:t>Prepared by Chen Jin</w:t>
      </w:r>
    </w:p>
    <w:p>
      <w:pPr>
        <w:spacing w:after="60"/>
      </w:pPr>
      <w:r>
        <w:rPr>
          <w:color w:val="667085"/>
          <w:sz w:val="20"/>
        </w:rPr>
        <w:t>BEng Electrical Engineering, The Hong Kong Polytechnic University</w:t>
      </w:r>
    </w:p>
    <w:p>
      <w:pPr>
        <w:spacing w:after="0"/>
      </w:pPr>
      <w:r>
        <w:rPr>
          <w:color w:val="667085"/>
          <w:sz w:val="20"/>
        </w:rPr>
        <w:t>MATLAB / Simulink Engineering Portfolio Project  |  August 2026</w:t>
      </w:r>
    </w:p>
    <w:p>
      <w:pPr>
        <w:spacing w:before="680"/>
      </w:pPr>
      <w:r>
        <w:rPr>
          <w:b/>
          <w:color w:val="1F4E79"/>
          <w:sz w:val="18"/>
        </w:rPr>
        <w:t>Project objective</w:t>
      </w:r>
    </w:p>
    <w:p>
      <w:pPr>
        <w:spacing w:after="0"/>
      </w:pPr>
      <w:r>
        <w:rPr>
          <w:color w:val="1F2937"/>
          <w:sz w:val="21"/>
        </w:rPr>
        <w:t>Demonstrate the ability to translate a power-and-energy requirement into an executable, verifiable and explainable engineering solution.</w:t>
      </w:r>
    </w:p>
    <w:p>
      <w:r>
        <w:br w:type="page"/>
      </w:r>
    </w:p>
    <w:p>
      <w:pPr>
        <w:pStyle w:val="Heading1"/>
      </w:pPr>
      <w:r>
        <w:t>1. Technical Summary</w:t>
      </w:r>
    </w:p>
    <w:p>
      <w:pPr>
        <w:spacing w:line="259" w:lineRule="auto"/>
      </w:pPr>
      <w:r>
        <w:t>This project develops and validates a rule-based energy management system for a grid-connected photovoltaic and battery energy storage system. The supervisory model was implemented in MATLAB/Simulink with a 15-minute timestep and explicitly enforced a 100 kW grid-import limit, a 20%–90% battery SOC range, and battery power and energy constraints. An initial 200 kWh / 50 kW design reduced the nominal peak import from 140 kW to 100 kW, but adverse-scenario testing showed that it was energy-limited. A worst-case capacity sweep identified 310 kWh as the minimum tested feasible capacity and 340 kWh / 70 kW as the first tested design providing at least five percentage points of SOC margin. State-aware precharging then achieved 14/14 compliant days in a continuous multi-day sequence with zero SOC-handover and power-balance error. The model also passed five engineering exception tests with the expected compliant or constraint-limited outcomes. Finally, an enhanced price-aware strategy using Shandong day-ahead prices and deadline SOC recovery retained reliability and terminal-energy comparability on all 90 observed price days while reducing modeled grid-import energy cost by 10.805%.</w:t>
      </w:r>
    </w:p>
    <w:tbl>
      <w:tblPr>
        <w:tblStyle w:val="TableGrid"/>
        <w:tblW w:type="dxa" w:w="9287"/>
        <w:jc w:val="center"/>
        <w:tblLayout w:type="fixed"/>
        <w:tblLook w:firstColumn="1" w:firstRow="1" w:lastColumn="0" w:lastRow="0" w:noHBand="0" w:noVBand="1" w:val="04A0"/>
        <w:tblInd w:w="0" w:type="dxa"/>
      </w:tblPr>
      <w:tblGrid>
        <w:gridCol w:w="3096"/>
        <w:gridCol w:w="3096"/>
        <w:gridCol w:w="3096"/>
      </w:tblGrid>
      <w:tr>
        <w:trPr>
          <w:cantSplit/>
        </w:trPr>
        <w:tc>
          <w:tcPr>
            <w:tcW w:type="dxa" w:w="3096"/>
            <w:shd w:fill="EEF4F9"/>
            <w:tcMar>
              <w:top w:w="150" w:type="dxa"/>
              <w:start w:w="130" w:type="dxa"/>
              <w:bottom w:w="150" w:type="dxa"/>
              <w:end w:w="130" w:type="dxa"/>
            </w:tcMar>
          </w:tcPr>
          <w:p>
            <w:pPr>
              <w:spacing w:after="60"/>
              <w:jc w:val="center"/>
            </w:pPr>
            <w:r>
              <w:rPr>
                <w:rFonts w:ascii="Calibri" w:hAnsi="Calibri"/>
                <w:b/>
                <w:color w:val="1F4E79"/>
                <w:sz w:val="30"/>
              </w:rPr>
              <w:t>140 → 100 kW</w:t>
            </w:r>
          </w:p>
          <w:p>
            <w:pPr>
              <w:spacing w:after="0"/>
              <w:jc w:val="center"/>
            </w:pPr>
            <w:r>
              <w:rPr>
                <w:rFonts w:ascii="Calibri" w:hAnsi="Calibri"/>
                <w:color w:val="667085"/>
                <w:sz w:val="17"/>
              </w:rPr>
              <w:t>preliminary peak reduction</w:t>
            </w:r>
          </w:p>
        </w:tc>
        <w:tc>
          <w:tcPr>
            <w:tcW w:type="dxa" w:w="3096"/>
            <w:shd w:fill="EEF4F9"/>
            <w:tcMar>
              <w:top w:w="150" w:type="dxa"/>
              <w:start w:w="130" w:type="dxa"/>
              <w:bottom w:w="150" w:type="dxa"/>
              <w:end w:w="130" w:type="dxa"/>
            </w:tcMar>
          </w:tcPr>
          <w:p>
            <w:pPr>
              <w:spacing w:after="60"/>
              <w:jc w:val="center"/>
            </w:pPr>
            <w:r>
              <w:rPr>
                <w:rFonts w:ascii="Calibri" w:hAnsi="Calibri"/>
                <w:b/>
                <w:color w:val="1F4E79"/>
                <w:sz w:val="30"/>
              </w:rPr>
              <w:t>340 kWh / 70 kW</w:t>
            </w:r>
          </w:p>
          <w:p>
            <w:pPr>
              <w:spacing w:after="0"/>
              <w:jc w:val="center"/>
            </w:pPr>
            <w:r>
              <w:rPr>
                <w:rFonts w:ascii="Calibri" w:hAnsi="Calibri"/>
                <w:color w:val="667085"/>
                <w:sz w:val="17"/>
              </w:rPr>
              <w:t>final simulated BESS design</w:t>
            </w:r>
          </w:p>
        </w:tc>
        <w:tc>
          <w:tcPr>
            <w:tcW w:type="dxa" w:w="3096"/>
            <w:shd w:fill="EEF4F9"/>
            <w:tcMar>
              <w:top w:w="150" w:type="dxa"/>
              <w:start w:w="130" w:type="dxa"/>
              <w:bottom w:w="150" w:type="dxa"/>
              <w:end w:w="130" w:type="dxa"/>
            </w:tcMar>
          </w:tcPr>
          <w:p>
            <w:pPr>
              <w:spacing w:after="60"/>
              <w:jc w:val="center"/>
            </w:pPr>
            <w:r>
              <w:rPr>
                <w:rFonts w:ascii="Calibri" w:hAnsi="Calibri"/>
                <w:b/>
                <w:color w:val="1F4E79"/>
                <w:sz w:val="30"/>
              </w:rPr>
              <w:t>14 / 14 days</w:t>
            </w:r>
          </w:p>
          <w:p>
            <w:pPr>
              <w:spacing w:after="0"/>
              <w:jc w:val="center"/>
            </w:pPr>
            <w:r>
              <w:rPr>
                <w:rFonts w:ascii="Calibri" w:hAnsi="Calibri"/>
                <w:color w:val="667085"/>
                <w:sz w:val="17"/>
              </w:rPr>
              <w:t>state-aware grid compliance</w:t>
            </w:r>
          </w:p>
        </w:tc>
      </w:tr>
      <w:tr>
        <w:trPr>
          <w:cantSplit/>
        </w:trPr>
        <w:tc>
          <w:tcPr>
            <w:tcW w:type="dxa" w:w="3096"/>
            <w:shd w:fill="F8FAFC"/>
            <w:tcMar>
              <w:top w:w="150" w:type="dxa"/>
              <w:start w:w="130" w:type="dxa"/>
              <w:bottom w:w="150" w:type="dxa"/>
              <w:end w:w="130" w:type="dxa"/>
            </w:tcMar>
          </w:tcPr>
          <w:p>
            <w:pPr>
              <w:spacing w:after="60"/>
              <w:jc w:val="center"/>
            </w:pPr>
            <w:r>
              <w:rPr>
                <w:rFonts w:ascii="Calibri" w:hAnsi="Calibri"/>
                <w:b/>
                <w:color w:val="1F4E79"/>
                <w:sz w:val="30"/>
              </w:rPr>
              <w:t>26.10%</w:t>
            </w:r>
          </w:p>
          <w:p>
            <w:pPr>
              <w:spacing w:after="0"/>
              <w:jc w:val="center"/>
            </w:pPr>
            <w:r>
              <w:rPr>
                <w:rFonts w:ascii="Calibri" w:hAnsi="Calibri"/>
                <w:color w:val="667085"/>
                <w:sz w:val="17"/>
              </w:rPr>
              <w:t>minimum SOC in final 14-day test</w:t>
            </w:r>
          </w:p>
        </w:tc>
        <w:tc>
          <w:tcPr>
            <w:tcW w:type="dxa" w:w="3096"/>
            <w:shd w:fill="F8FAFC"/>
            <w:tcMar>
              <w:top w:w="150" w:type="dxa"/>
              <w:start w:w="130" w:type="dxa"/>
              <w:bottom w:w="150" w:type="dxa"/>
              <w:end w:w="130" w:type="dxa"/>
            </w:tcMar>
          </w:tcPr>
          <w:p>
            <w:pPr>
              <w:spacing w:after="60"/>
              <w:jc w:val="center"/>
            </w:pPr>
            <w:r>
              <w:rPr>
                <w:rFonts w:ascii="Calibri" w:hAnsi="Calibri"/>
                <w:b/>
                <w:color w:val="1F4E79"/>
                <w:sz w:val="30"/>
              </w:rPr>
              <w:t>5 / 5 tests</w:t>
            </w:r>
          </w:p>
          <w:p>
            <w:pPr>
              <w:spacing w:after="0"/>
              <w:jc w:val="center"/>
            </w:pPr>
            <w:r>
              <w:rPr>
                <w:rFonts w:ascii="Calibri" w:hAnsi="Calibri"/>
                <w:color w:val="667085"/>
                <w:sz w:val="17"/>
              </w:rPr>
              <w:t>engineering validation outcomes</w:t>
            </w:r>
          </w:p>
        </w:tc>
        <w:tc>
          <w:tcPr>
            <w:tcW w:type="dxa" w:w="3096"/>
            <w:shd w:fill="F8FAFC"/>
            <w:tcMar>
              <w:top w:w="150" w:type="dxa"/>
              <w:start w:w="130" w:type="dxa"/>
              <w:bottom w:w="150" w:type="dxa"/>
              <w:end w:w="130" w:type="dxa"/>
            </w:tcMar>
          </w:tcPr>
          <w:p>
            <w:pPr>
              <w:spacing w:after="60"/>
              <w:jc w:val="center"/>
            </w:pPr>
            <w:r>
              <w:rPr>
                <w:rFonts w:ascii="Calibri" w:hAnsi="Calibri"/>
                <w:b/>
                <w:color w:val="1F4E79"/>
                <w:sz w:val="30"/>
              </w:rPr>
              <w:t>10.805%</w:t>
            </w:r>
          </w:p>
          <w:p>
            <w:pPr>
              <w:spacing w:after="0"/>
              <w:jc w:val="center"/>
            </w:pPr>
            <w:r>
              <w:rPr>
                <w:rFonts w:ascii="Calibri" w:hAnsi="Calibri"/>
                <w:color w:val="667085"/>
                <w:sz w:val="17"/>
              </w:rPr>
              <w:t>modeled import-energy cost reduction</w:t>
            </w:r>
          </w:p>
        </w:tc>
      </w:tr>
    </w:tbl>
    <w:p>
      <w:pPr>
        <w:spacing w:after="0"/>
      </w:pPr>
    </w:p>
    <w:tbl>
      <w:tblPr>
        <w:tblStyle w:val="TableGrid"/>
        <w:tblW w:type="dxa" w:w="9288"/>
        <w:jc w:val="center"/>
        <w:tblLayout w:type="fixed"/>
        <w:tblLook w:firstColumn="1" w:firstRow="1" w:lastColumn="0" w:lastRow="0" w:noHBand="0" w:noVBand="1" w:val="04A0"/>
        <w:tblInd w:w="0" w:type="dxa"/>
      </w:tblPr>
      <w:tblGrid>
        <w:gridCol w:w="9288"/>
      </w:tblGrid>
      <w:tr>
        <w:trPr>
          <w:cantSplit/>
        </w:trPr>
        <w:tc>
          <w:tcPr>
            <w:tcW w:type="dxa" w:w="9288"/>
            <w:shd w:fill="FFF4D6"/>
            <w:tcMar>
              <w:top w:w="130" w:type="dxa"/>
              <w:start w:w="150" w:type="dxa"/>
              <w:bottom w:w="130" w:type="dxa"/>
              <w:end w:w="150" w:type="dxa"/>
            </w:tcMar>
          </w:tcPr>
          <w:p>
            <w:pPr>
              <w:spacing w:after="40"/>
            </w:pPr>
            <w:r>
              <w:rPr>
                <w:rFonts w:ascii="Calibri" w:hAnsi="Calibri"/>
                <w:b/>
                <w:color w:val="B26A00"/>
                <w:sz w:val="18"/>
              </w:rPr>
              <w:t>CLAIM BOUNDARY</w:t>
            </w:r>
          </w:p>
          <w:p>
            <w:pPr>
              <w:spacing w:after="0" w:line="245" w:lineRule="auto"/>
            </w:pPr>
            <w:r>
              <w:rPr>
                <w:rFonts w:ascii="Calibri" w:hAnsi="Calibri"/>
                <w:color w:val="1F2937"/>
                <w:sz w:val="20"/>
              </w:rPr>
              <w:t>The price result is a controlled sensitivity study using one repeated representative load/PV day. It is not a historical site reconstruction, guaranteed saving, ROI or payback calculation.</w:t>
            </w:r>
          </w:p>
        </w:tc>
      </w:tr>
    </w:tbl>
    <w:p>
      <w:pPr>
        <w:spacing w:after="0"/>
      </w:pPr>
    </w:p>
    <w:p>
      <w:pPr>
        <w:pStyle w:val="Heading1"/>
      </w:pPr>
      <w:r>
        <w:t>2. Requirements Traceability</w:t>
      </w:r>
    </w:p>
    <w:p>
      <w:r>
        <w:t>The design process began by converting an application requirement—limit grid import while preserving battery readiness—into measurable constraints and test gates.</w:t>
      </w:r>
    </w:p>
    <w:tbl>
      <w:tblPr>
        <w:tblStyle w:val="TableGrid"/>
        <w:tblW w:type="dxa" w:w="9288"/>
        <w:jc w:val="center"/>
        <w:tblLayout w:type="fixed"/>
        <w:tblLook w:firstColumn="1" w:firstRow="1" w:lastColumn="0" w:lastRow="0" w:noHBand="0" w:noVBand="1" w:val="04A0"/>
        <w:tblInd w:w="0" w:type="dxa"/>
      </w:tblPr>
      <w:tblGrid>
        <w:gridCol w:w="2880"/>
        <w:gridCol w:w="3744"/>
        <w:gridCol w:w="2664"/>
      </w:tblGrid>
      <w:tr>
        <w:trPr>
          <w:cantSplit/>
          <w:tblHeader w:val="true"/>
        </w:trPr>
        <w:tc>
          <w:tcPr>
            <w:tcW w:type="dxa" w:w="2880"/>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Engineering requirement</w:t>
            </w:r>
          </w:p>
        </w:tc>
        <w:tc>
          <w:tcPr>
            <w:tcW w:type="dxa" w:w="3744"/>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Design response</w:t>
            </w:r>
          </w:p>
        </w:tc>
        <w:tc>
          <w:tcPr>
            <w:tcW w:type="dxa" w:w="2664"/>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Verification metric</w:t>
            </w:r>
          </w:p>
        </w:tc>
      </w:tr>
      <w:tr>
        <w:tc>
          <w:tcPr>
            <w:tcW w:type="dxa" w:w="2880"/>
            <w:vAlign w:val="center"/>
            <w:tcMar>
              <w:top w:w="80" w:type="dxa"/>
              <w:start w:w="100" w:type="dxa"/>
              <w:bottom w:w="80" w:type="dxa"/>
              <w:end w:w="100" w:type="dxa"/>
            </w:tcMar>
          </w:tcPr>
          <w:p>
            <w:pPr>
              <w:spacing w:before="0" w:after="0" w:line="240" w:lineRule="auto"/>
            </w:pPr>
            <w:r/>
            <w:r>
              <w:rPr>
                <w:rFonts w:ascii="Calibri" w:hAnsi="Calibri"/>
                <w:b w:val="0"/>
                <w:color w:val="1F2937"/>
                <w:sz w:val="17"/>
              </w:rPr>
              <w:t>Grid import ≤100 kW</w:t>
            </w:r>
          </w:p>
        </w:tc>
        <w:tc>
          <w:tcPr>
            <w:tcW w:type="dxa" w:w="3744"/>
            <w:vAlign w:val="center"/>
            <w:tcMar>
              <w:top w:w="80" w:type="dxa"/>
              <w:start w:w="100" w:type="dxa"/>
              <w:bottom w:w="80" w:type="dxa"/>
              <w:end w:w="100" w:type="dxa"/>
            </w:tcMar>
          </w:tcPr>
          <w:p>
            <w:pPr>
              <w:spacing w:before="0" w:after="0" w:line="240" w:lineRule="auto"/>
            </w:pPr>
            <w:r/>
            <w:r>
              <w:rPr>
                <w:rFonts w:ascii="Calibri" w:hAnsi="Calibri"/>
                <w:b w:val="0"/>
                <w:color w:val="1F2937"/>
                <w:sz w:val="17"/>
              </w:rPr>
              <w:t>Peak-shaving discharge rule</w:t>
            </w:r>
          </w:p>
        </w:tc>
        <w:tc>
          <w:tcPr>
            <w:tcW w:type="dxa" w:w="2664"/>
            <w:vAlign w:val="center"/>
            <w:tcMar>
              <w:top w:w="80" w:type="dxa"/>
              <w:start w:w="100" w:type="dxa"/>
              <w:bottom w:w="80" w:type="dxa"/>
              <w:end w:w="100" w:type="dxa"/>
            </w:tcMar>
          </w:tcPr>
          <w:p>
            <w:pPr>
              <w:spacing w:before="0" w:after="0" w:line="240" w:lineRule="auto"/>
            </w:pPr>
            <w:r/>
            <w:r>
              <w:rPr>
                <w:rFonts w:ascii="Calibri" w:hAnsi="Calibri"/>
                <w:b w:val="0"/>
                <w:color w:val="1F2937"/>
                <w:sz w:val="17"/>
              </w:rPr>
              <w:t>Peak power; exceedance energy</w:t>
            </w:r>
          </w:p>
        </w:tc>
      </w:tr>
      <w:tr>
        <w:tc>
          <w:tcPr>
            <w:tcW w:type="dxa" w:w="288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SOC between 20% and 90%</w:t>
            </w:r>
          </w:p>
        </w:tc>
        <w:tc>
          <w:tcPr>
            <w:tcW w:type="dxa" w:w="374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SOC-dependent saturation</w:t>
            </w:r>
          </w:p>
        </w:tc>
        <w:tc>
          <w:tcPr>
            <w:tcW w:type="dxa" w:w="266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Minimum and maximum SOC</w:t>
            </w:r>
          </w:p>
        </w:tc>
      </w:tr>
      <w:tr>
        <w:tc>
          <w:tcPr>
            <w:tcW w:type="dxa" w:w="2880"/>
            <w:vAlign w:val="center"/>
            <w:tcMar>
              <w:top w:w="80" w:type="dxa"/>
              <w:start w:w="100" w:type="dxa"/>
              <w:bottom w:w="80" w:type="dxa"/>
              <w:end w:w="100" w:type="dxa"/>
            </w:tcMar>
          </w:tcPr>
          <w:p>
            <w:pPr>
              <w:spacing w:before="0" w:after="0" w:line="240" w:lineRule="auto"/>
            </w:pPr>
            <w:r/>
            <w:r>
              <w:rPr>
                <w:rFonts w:ascii="Calibri" w:hAnsi="Calibri"/>
                <w:b w:val="0"/>
                <w:color w:val="1F2937"/>
                <w:sz w:val="17"/>
              </w:rPr>
              <w:t>Battery power ≤70 kW</w:t>
            </w:r>
          </w:p>
        </w:tc>
        <w:tc>
          <w:tcPr>
            <w:tcW w:type="dxa" w:w="3744"/>
            <w:vAlign w:val="center"/>
            <w:tcMar>
              <w:top w:w="80" w:type="dxa"/>
              <w:start w:w="100" w:type="dxa"/>
              <w:bottom w:w="80" w:type="dxa"/>
              <w:end w:w="100" w:type="dxa"/>
            </w:tcMar>
          </w:tcPr>
          <w:p>
            <w:pPr>
              <w:spacing w:before="0" w:after="0" w:line="240" w:lineRule="auto"/>
            </w:pPr>
            <w:r/>
            <w:r>
              <w:rPr>
                <w:rFonts w:ascii="Calibri" w:hAnsi="Calibri"/>
                <w:b w:val="0"/>
                <w:color w:val="1F2937"/>
                <w:sz w:val="17"/>
              </w:rPr>
              <w:t>Charge/discharge power limiter</w:t>
            </w:r>
          </w:p>
        </w:tc>
        <w:tc>
          <w:tcPr>
            <w:tcW w:type="dxa" w:w="2664"/>
            <w:vAlign w:val="center"/>
            <w:tcMar>
              <w:top w:w="80" w:type="dxa"/>
              <w:start w:w="100" w:type="dxa"/>
              <w:bottom w:w="80" w:type="dxa"/>
              <w:end w:w="100" w:type="dxa"/>
            </w:tcMar>
          </w:tcPr>
          <w:p>
            <w:pPr>
              <w:spacing w:before="0" w:after="0" w:line="240" w:lineRule="auto"/>
            </w:pPr>
            <w:r/>
            <w:r>
              <w:rPr>
                <w:rFonts w:ascii="Calibri" w:hAnsi="Calibri"/>
                <w:b w:val="0"/>
                <w:color w:val="1F2937"/>
                <w:sz w:val="17"/>
              </w:rPr>
              <w:t>Maximum |Pbatt|</w:t>
            </w:r>
          </w:p>
        </w:tc>
      </w:tr>
      <w:tr>
        <w:tc>
          <w:tcPr>
            <w:tcW w:type="dxa" w:w="288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Continuous energy state</w:t>
            </w:r>
          </w:p>
        </w:tc>
        <w:tc>
          <w:tcPr>
            <w:tcW w:type="dxa" w:w="374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Final SOC handed to next day</w:t>
            </w:r>
          </w:p>
        </w:tc>
        <w:tc>
          <w:tcPr>
            <w:tcW w:type="dxa" w:w="266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SOC handover error</w:t>
            </w:r>
          </w:p>
        </w:tc>
      </w:tr>
      <w:tr>
        <w:tc>
          <w:tcPr>
            <w:tcW w:type="dxa" w:w="2880"/>
            <w:vAlign w:val="center"/>
            <w:tcMar>
              <w:top w:w="80" w:type="dxa"/>
              <w:start w:w="100" w:type="dxa"/>
              <w:bottom w:w="80" w:type="dxa"/>
              <w:end w:w="100" w:type="dxa"/>
            </w:tcMar>
          </w:tcPr>
          <w:p>
            <w:pPr>
              <w:spacing w:before="0" w:after="0" w:line="240" w:lineRule="auto"/>
            </w:pPr>
            <w:r/>
            <w:r>
              <w:rPr>
                <w:rFonts w:ascii="Calibri" w:hAnsi="Calibri"/>
                <w:b w:val="0"/>
                <w:color w:val="1F2937"/>
                <w:sz w:val="17"/>
              </w:rPr>
              <w:t>Adverse-condition operation</w:t>
            </w:r>
          </w:p>
        </w:tc>
        <w:tc>
          <w:tcPr>
            <w:tcW w:type="dxa" w:w="3744"/>
            <w:vAlign w:val="center"/>
            <w:tcMar>
              <w:top w:w="80" w:type="dxa"/>
              <w:start w:w="100" w:type="dxa"/>
              <w:bottom w:w="80" w:type="dxa"/>
              <w:end w:w="100" w:type="dxa"/>
            </w:tcMar>
          </w:tcPr>
          <w:p>
            <w:pPr>
              <w:spacing w:before="0" w:after="0" w:line="240" w:lineRule="auto"/>
            </w:pPr>
            <w:r/>
            <w:r>
              <w:rPr>
                <w:rFonts w:ascii="Calibri" w:hAnsi="Calibri"/>
                <w:b w:val="0"/>
                <w:color w:val="1F2937"/>
                <w:sz w:val="17"/>
              </w:rPr>
              <w:t>Sunny/cloudy and normal/high-load cases</w:t>
            </w:r>
          </w:p>
        </w:tc>
        <w:tc>
          <w:tcPr>
            <w:tcW w:type="dxa" w:w="2664"/>
            <w:vAlign w:val="center"/>
            <w:tcMar>
              <w:top w:w="80" w:type="dxa"/>
              <w:start w:w="100" w:type="dxa"/>
              <w:bottom w:w="80" w:type="dxa"/>
              <w:end w:w="100" w:type="dxa"/>
            </w:tcMar>
          </w:tcPr>
          <w:p>
            <w:pPr>
              <w:spacing w:before="0" w:after="0" w:line="240" w:lineRule="auto"/>
            </w:pPr>
            <w:r/>
            <w:r>
              <w:rPr>
                <w:rFonts w:ascii="Calibri" w:hAnsi="Calibri"/>
                <w:b w:val="0"/>
                <w:color w:val="1F2937"/>
                <w:sz w:val="17"/>
              </w:rPr>
              <w:t>Scenario compliance</w:t>
            </w:r>
          </w:p>
        </w:tc>
      </w:tr>
      <w:tr>
        <w:tc>
          <w:tcPr>
            <w:tcW w:type="dxa" w:w="288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Multi-day readiness</w:t>
            </w:r>
          </w:p>
        </w:tc>
        <w:tc>
          <w:tcPr>
            <w:tcW w:type="dxa" w:w="374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State-aware precharge and recovery</w:t>
            </w:r>
          </w:p>
        </w:tc>
        <w:tc>
          <w:tcPr>
            <w:tcW w:type="dxa" w:w="266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Compliant days; terminal SOC</w:t>
            </w:r>
          </w:p>
        </w:tc>
      </w:tr>
      <w:tr>
        <w:tc>
          <w:tcPr>
            <w:tcW w:type="dxa" w:w="2880"/>
            <w:vAlign w:val="center"/>
            <w:tcMar>
              <w:top w:w="80" w:type="dxa"/>
              <w:start w:w="100" w:type="dxa"/>
              <w:bottom w:w="80" w:type="dxa"/>
              <w:end w:w="100" w:type="dxa"/>
            </w:tcMar>
          </w:tcPr>
          <w:p>
            <w:pPr>
              <w:spacing w:before="0" w:after="0" w:line="240" w:lineRule="auto"/>
            </w:pPr>
            <w:r/>
            <w:r>
              <w:rPr>
                <w:rFonts w:ascii="Calibri" w:hAnsi="Calibri"/>
                <w:b w:val="0"/>
                <w:color w:val="1F2937"/>
                <w:sz w:val="17"/>
              </w:rPr>
              <w:t>Low-price charging</w:t>
            </w:r>
          </w:p>
        </w:tc>
        <w:tc>
          <w:tcPr>
            <w:tcW w:type="dxa" w:w="3744"/>
            <w:vAlign w:val="center"/>
            <w:tcMar>
              <w:top w:w="80" w:type="dxa"/>
              <w:start w:w="100" w:type="dxa"/>
              <w:bottom w:w="80" w:type="dxa"/>
              <w:end w:w="100" w:type="dxa"/>
            </w:tcMar>
          </w:tcPr>
          <w:p>
            <w:pPr>
              <w:spacing w:before="0" w:after="0" w:line="240" w:lineRule="auto"/>
            </w:pPr>
            <w:r/>
            <w:r>
              <w:rPr>
                <w:rFonts w:ascii="Calibri" w:hAnsi="Calibri"/>
                <w:b w:val="0"/>
                <w:color w:val="1F2937"/>
                <w:sz w:val="17"/>
              </w:rPr>
              <w:t>Daily P25 price gate</w:t>
            </w:r>
          </w:p>
        </w:tc>
        <w:tc>
          <w:tcPr>
            <w:tcW w:type="dxa" w:w="2664"/>
            <w:vAlign w:val="center"/>
            <w:tcMar>
              <w:top w:w="80" w:type="dxa"/>
              <w:start w:w="100" w:type="dxa"/>
              <w:bottom w:w="80" w:type="dxa"/>
              <w:end w:w="100" w:type="dxa"/>
            </w:tcMar>
          </w:tcPr>
          <w:p>
            <w:pPr>
              <w:spacing w:before="0" w:after="0" w:line="240" w:lineRule="auto"/>
            </w:pPr>
            <w:r/>
            <w:r>
              <w:rPr>
                <w:rFonts w:ascii="Calibri" w:hAnsi="Calibri"/>
                <w:b w:val="0"/>
                <w:color w:val="1F2937"/>
                <w:sz w:val="17"/>
              </w:rPr>
              <w:t>Import-energy cost</w:t>
            </w:r>
          </w:p>
        </w:tc>
      </w:tr>
      <w:tr>
        <w:tc>
          <w:tcPr>
            <w:tcW w:type="dxa" w:w="288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Fair strategy comparison</w:t>
            </w:r>
          </w:p>
        </w:tc>
        <w:tc>
          <w:tcPr>
            <w:tcW w:type="dxa" w:w="374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Terminal-energy comparability gate</w:t>
            </w:r>
          </w:p>
        </w:tc>
        <w:tc>
          <w:tcPr>
            <w:tcW w:type="dxa" w:w="266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Final-SOC difference ≤0.5 point</w:t>
            </w:r>
          </w:p>
        </w:tc>
      </w:tr>
      <w:tr>
        <w:tc>
          <w:tcPr>
            <w:tcW w:type="dxa" w:w="2880"/>
            <w:vAlign w:val="center"/>
            <w:tcMar>
              <w:top w:w="80" w:type="dxa"/>
              <w:start w:w="100" w:type="dxa"/>
              <w:bottom w:w="80" w:type="dxa"/>
              <w:end w:w="100" w:type="dxa"/>
            </w:tcMar>
          </w:tcPr>
          <w:p>
            <w:pPr>
              <w:spacing w:before="0" w:after="0" w:line="240" w:lineRule="auto"/>
            </w:pPr>
            <w:r/>
            <w:r>
              <w:rPr>
                <w:rFonts w:ascii="Calibri" w:hAnsi="Calibri"/>
                <w:b w:val="0"/>
                <w:color w:val="1F2937"/>
                <w:sz w:val="17"/>
              </w:rPr>
              <w:t>Physical consistency</w:t>
            </w:r>
          </w:p>
        </w:tc>
        <w:tc>
          <w:tcPr>
            <w:tcW w:type="dxa" w:w="3744"/>
            <w:vAlign w:val="center"/>
            <w:tcMar>
              <w:top w:w="80" w:type="dxa"/>
              <w:start w:w="100" w:type="dxa"/>
              <w:bottom w:w="80" w:type="dxa"/>
              <w:end w:w="100" w:type="dxa"/>
            </w:tcMar>
          </w:tcPr>
          <w:p>
            <w:pPr>
              <w:spacing w:before="0" w:after="0" w:line="240" w:lineRule="auto"/>
            </w:pPr>
            <w:r/>
            <w:r>
              <w:rPr>
                <w:rFonts w:ascii="Calibri" w:hAnsi="Calibri"/>
                <w:b w:val="0"/>
                <w:color w:val="1F2937"/>
                <w:sz w:val="17"/>
              </w:rPr>
              <w:t>Explicit power balance</w:t>
            </w:r>
          </w:p>
        </w:tc>
        <w:tc>
          <w:tcPr>
            <w:tcW w:type="dxa" w:w="2664"/>
            <w:vAlign w:val="center"/>
            <w:tcMar>
              <w:top w:w="80" w:type="dxa"/>
              <w:start w:w="100" w:type="dxa"/>
              <w:bottom w:w="80" w:type="dxa"/>
              <w:end w:w="100" w:type="dxa"/>
            </w:tcMar>
          </w:tcPr>
          <w:p>
            <w:pPr>
              <w:spacing w:before="0" w:after="0" w:line="240" w:lineRule="auto"/>
            </w:pPr>
            <w:r/>
            <w:r>
              <w:rPr>
                <w:rFonts w:ascii="Calibri" w:hAnsi="Calibri"/>
                <w:b w:val="0"/>
                <w:color w:val="1F2937"/>
                <w:sz w:val="17"/>
              </w:rPr>
              <w:t>Maximum balance error</w:t>
            </w:r>
          </w:p>
        </w:tc>
      </w:tr>
    </w:tbl>
    <w:p>
      <w:pPr>
        <w:spacing w:after="0"/>
      </w:pPr>
    </w:p>
    <w:p>
      <w:r>
        <w:br w:type="page"/>
      </w:r>
    </w:p>
    <w:p>
      <w:pPr>
        <w:pStyle w:val="Heading1"/>
      </w:pPr>
      <w:r>
        <w:t>3. System Boundary and Model Specification</w:t>
      </w:r>
    </w:p>
    <w:p>
      <w:r>
        <w:t>The model represents supervisory energy scheduling rather than converter-level electromagnetic dynamics. Load, PV, forecast/state flags and day-ahead price signals are processed into net-load, battery and grid-power commands at 900-second intervals.</w:t>
      </w:r>
    </w:p>
    <w:p>
      <w:pPr>
        <w:keepNext/>
        <w:spacing w:before="40" w:after="0"/>
        <w:jc w:val="center"/>
      </w:pPr>
      <w:r>
        <w:drawing>
          <wp:inline xmlns:a="http://schemas.openxmlformats.org/drawingml/2006/main" xmlns:pic="http://schemas.openxmlformats.org/drawingml/2006/picture">
            <wp:extent cx="5806440" cy="2787091"/>
            <wp:docPr id="1" name="Picture 1" descr="Figure 1. Supervisory PV-BESS EMS architecture and information flow." title="Supervisory PV-BESS EMS architecture and information flow."/>
            <wp:cNvGraphicFramePr>
              <a:graphicFrameLocks noChangeAspect="1"/>
            </wp:cNvGraphicFramePr>
            <a:graphic>
              <a:graphicData uri="http://schemas.openxmlformats.org/drawingml/2006/picture">
                <pic:pic>
                  <pic:nvPicPr>
                    <pic:cNvPr id="0" name="pv_bess_ems_architecture.png"/>
                    <pic:cNvPicPr/>
                  </pic:nvPicPr>
                  <pic:blipFill>
                    <a:blip r:embed="rId11"/>
                    <a:stretch>
                      <a:fillRect/>
                    </a:stretch>
                  </pic:blipFill>
                  <pic:spPr>
                    <a:xfrm>
                      <a:off x="0" y="0"/>
                      <a:ext cx="5806440" cy="2787091"/>
                    </a:xfrm>
                    <a:prstGeom prst="rect"/>
                  </pic:spPr>
                </pic:pic>
              </a:graphicData>
            </a:graphic>
          </wp:inline>
        </w:drawing>
      </w:r>
    </w:p>
    <w:p>
      <w:pPr>
        <w:pStyle w:val="Caption"/>
        <w:keepLines/>
        <w:spacing w:before="40" w:after="140"/>
        <w:jc w:val="center"/>
      </w:pPr>
      <w:r>
        <w:rPr>
          <w:rFonts w:ascii="Calibri" w:hAnsi="Calibri"/>
          <w:color w:val="667085"/>
          <w:sz w:val="17"/>
        </w:rPr>
        <w:t>Figure 1. Supervisory PV-BESS EMS architecture and information flow.</w:t>
      </w:r>
    </w:p>
    <w:p>
      <w:pPr>
        <w:pStyle w:val="Heading2"/>
      </w:pPr>
      <w:r>
        <w:t>3.1 Power-flow equations and sign conventions</w:t>
      </w:r>
    </w:p>
    <w:p>
      <w:pPr>
        <w:spacing w:before="80" w:after="80"/>
        <w:jc w:val="center"/>
      </w:pPr>
      <w:r>
        <w:rPr>
          <w:rFonts w:ascii="Cambria Math" w:hAnsi="Cambria Math"/>
          <w:color w:val="1F2937"/>
          <w:sz w:val="24"/>
        </w:rPr>
        <w:t>Pnet = Pload − PPV</w:t>
      </w:r>
    </w:p>
    <w:p>
      <w:pPr>
        <w:spacing w:before="80" w:after="80"/>
        <w:jc w:val="center"/>
      </w:pPr>
      <w:r>
        <w:rPr>
          <w:rFonts w:ascii="Cambria Math" w:hAnsi="Cambria Math"/>
          <w:color w:val="1F2937"/>
          <w:sz w:val="24"/>
        </w:rPr>
        <w:t>Pgrid = Pnet − Pbatt</w:t>
      </w:r>
    </w:p>
    <w:tbl>
      <w:tblPr>
        <w:tblStyle w:val="TableGrid"/>
        <w:tblW w:type="dxa" w:w="9288"/>
        <w:jc w:val="center"/>
        <w:tblLayout w:type="fixed"/>
        <w:tblLook w:firstColumn="1" w:firstRow="1" w:lastColumn="0" w:lastRow="0" w:noHBand="0" w:noVBand="1" w:val="04A0"/>
        <w:tblInd w:w="0" w:type="dxa"/>
      </w:tblPr>
      <w:tblGrid>
        <w:gridCol w:w="2880"/>
        <w:gridCol w:w="6408"/>
      </w:tblGrid>
      <w:tr>
        <w:trPr>
          <w:cantSplit/>
          <w:tblHeader w:val="true"/>
        </w:trPr>
        <w:tc>
          <w:tcPr>
            <w:tcW w:type="dxa" w:w="2880"/>
            <w:shd w:fill="1F4E79"/>
            <w:vAlign w:val="center"/>
            <w:tcMar>
              <w:top w:w="80" w:type="dxa"/>
              <w:start w:w="100" w:type="dxa"/>
              <w:bottom w:w="80" w:type="dxa"/>
              <w:end w:w="100" w:type="dxa"/>
            </w:tcMar>
          </w:tcPr>
          <w:p>
            <w:pPr>
              <w:spacing w:before="0" w:after="0" w:line="240" w:lineRule="auto"/>
            </w:pPr>
            <w:r/>
            <w:r>
              <w:rPr>
                <w:rFonts w:ascii="Calibri" w:hAnsi="Calibri"/>
                <w:b/>
                <w:color w:val="FFFFFF"/>
                <w:sz w:val="18"/>
              </w:rPr>
              <w:t>Signal condition</w:t>
            </w:r>
          </w:p>
        </w:tc>
        <w:tc>
          <w:tcPr>
            <w:tcW w:type="dxa" w:w="6408"/>
            <w:shd w:fill="1F4E79"/>
            <w:vAlign w:val="center"/>
            <w:tcMar>
              <w:top w:w="80" w:type="dxa"/>
              <w:start w:w="100" w:type="dxa"/>
              <w:bottom w:w="80" w:type="dxa"/>
              <w:end w:w="100" w:type="dxa"/>
            </w:tcMar>
          </w:tcPr>
          <w:p>
            <w:pPr>
              <w:spacing w:before="0" w:after="0" w:line="240" w:lineRule="auto"/>
            </w:pPr>
            <w:r/>
            <w:r>
              <w:rPr>
                <w:rFonts w:ascii="Calibri" w:hAnsi="Calibri"/>
                <w:b/>
                <w:color w:val="FFFFFF"/>
                <w:sz w:val="18"/>
              </w:rPr>
              <w:t>Engineering meaning</w:t>
            </w:r>
          </w:p>
        </w:tc>
      </w:tr>
      <w:tr>
        <w:tc>
          <w:tcPr>
            <w:tcW w:type="dxa" w:w="2880"/>
            <w:vAlign w:val="center"/>
            <w:tcMar>
              <w:top w:w="80" w:type="dxa"/>
              <w:start w:w="100" w:type="dxa"/>
              <w:bottom w:w="80" w:type="dxa"/>
              <w:end w:w="100" w:type="dxa"/>
            </w:tcMar>
          </w:tcPr>
          <w:p>
            <w:pPr>
              <w:spacing w:before="0" w:after="0" w:line="240" w:lineRule="auto"/>
            </w:pPr>
            <w:r/>
            <w:r>
              <w:rPr>
                <w:rFonts w:ascii="Calibri" w:hAnsi="Calibri"/>
                <w:b w:val="0"/>
                <w:color w:val="1F2937"/>
                <w:sz w:val="18"/>
              </w:rPr>
              <w:t>Pbatt &gt; 0</w:t>
            </w:r>
          </w:p>
        </w:tc>
        <w:tc>
          <w:tcPr>
            <w:tcW w:type="dxa" w:w="6408"/>
            <w:vAlign w:val="center"/>
            <w:tcMar>
              <w:top w:w="80" w:type="dxa"/>
              <w:start w:w="100" w:type="dxa"/>
              <w:bottom w:w="80" w:type="dxa"/>
              <w:end w:w="100" w:type="dxa"/>
            </w:tcMar>
          </w:tcPr>
          <w:p>
            <w:pPr>
              <w:spacing w:before="0" w:after="0" w:line="240" w:lineRule="auto"/>
            </w:pPr>
            <w:r/>
            <w:r>
              <w:rPr>
                <w:rFonts w:ascii="Calibri" w:hAnsi="Calibri"/>
                <w:b w:val="0"/>
                <w:color w:val="1F2937"/>
                <w:sz w:val="18"/>
              </w:rPr>
              <w:t>Battery discharging</w:t>
            </w:r>
          </w:p>
        </w:tc>
      </w:tr>
      <w:tr>
        <w:tc>
          <w:tcPr>
            <w:tcW w:type="dxa" w:w="288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Pbatt &lt; 0</w:t>
            </w:r>
          </w:p>
        </w:tc>
        <w:tc>
          <w:tcPr>
            <w:tcW w:type="dxa" w:w="640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Battery charging</w:t>
            </w:r>
          </w:p>
        </w:tc>
      </w:tr>
      <w:tr>
        <w:tc>
          <w:tcPr>
            <w:tcW w:type="dxa" w:w="2880"/>
            <w:vAlign w:val="center"/>
            <w:tcMar>
              <w:top w:w="80" w:type="dxa"/>
              <w:start w:w="100" w:type="dxa"/>
              <w:bottom w:w="80" w:type="dxa"/>
              <w:end w:w="100" w:type="dxa"/>
            </w:tcMar>
          </w:tcPr>
          <w:p>
            <w:pPr>
              <w:spacing w:before="0" w:after="0" w:line="240" w:lineRule="auto"/>
            </w:pPr>
            <w:r/>
            <w:r>
              <w:rPr>
                <w:rFonts w:ascii="Calibri" w:hAnsi="Calibri"/>
                <w:b w:val="0"/>
                <w:color w:val="1F2937"/>
                <w:sz w:val="18"/>
              </w:rPr>
              <w:t>Pgrid &gt; 0</w:t>
            </w:r>
          </w:p>
        </w:tc>
        <w:tc>
          <w:tcPr>
            <w:tcW w:type="dxa" w:w="6408"/>
            <w:vAlign w:val="center"/>
            <w:tcMar>
              <w:top w:w="80" w:type="dxa"/>
              <w:start w:w="100" w:type="dxa"/>
              <w:bottom w:w="80" w:type="dxa"/>
              <w:end w:w="100" w:type="dxa"/>
            </w:tcMar>
          </w:tcPr>
          <w:p>
            <w:pPr>
              <w:spacing w:before="0" w:after="0" w:line="240" w:lineRule="auto"/>
            </w:pPr>
            <w:r/>
            <w:r>
              <w:rPr>
                <w:rFonts w:ascii="Calibri" w:hAnsi="Calibri"/>
                <w:b w:val="0"/>
                <w:color w:val="1F2937"/>
                <w:sz w:val="18"/>
              </w:rPr>
              <w:t>Grid import</w:t>
            </w:r>
          </w:p>
        </w:tc>
      </w:tr>
      <w:tr>
        <w:tc>
          <w:tcPr>
            <w:tcW w:type="dxa" w:w="288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Pgrid &lt; 0</w:t>
            </w:r>
          </w:p>
        </w:tc>
        <w:tc>
          <w:tcPr>
            <w:tcW w:type="dxa" w:w="640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Grid export</w:t>
            </w:r>
          </w:p>
        </w:tc>
      </w:tr>
    </w:tbl>
    <w:p>
      <w:pPr>
        <w:spacing w:after="0"/>
      </w:pPr>
    </w:p>
    <w:p>
      <w:r>
        <w:br w:type="page"/>
      </w:r>
    </w:p>
    <w:p>
      <w:pPr>
        <w:pStyle w:val="Heading2"/>
      </w:pPr>
      <w:r>
        <w:t>3.2 Final design parameters</w:t>
      </w:r>
    </w:p>
    <w:tbl>
      <w:tblPr>
        <w:tblStyle w:val="TableGrid"/>
        <w:tblW w:type="dxa" w:w="9288"/>
        <w:jc w:val="center"/>
        <w:tblLayout w:type="fixed"/>
        <w:tblLook w:firstColumn="1" w:firstRow="1" w:lastColumn="0" w:lastRow="0" w:noHBand="0" w:noVBand="1" w:val="04A0"/>
        <w:tblInd w:w="0" w:type="dxa"/>
      </w:tblPr>
      <w:tblGrid>
        <w:gridCol w:w="3528"/>
        <w:gridCol w:w="5760"/>
      </w:tblGrid>
      <w:tr>
        <w:trPr>
          <w:cantSplit/>
          <w:tblHeader w:val="true"/>
        </w:trPr>
        <w:tc>
          <w:tcPr>
            <w:tcW w:type="dxa" w:w="3528"/>
            <w:shd w:fill="1F4E79"/>
            <w:vAlign w:val="center"/>
            <w:tcMar>
              <w:top w:w="80" w:type="dxa"/>
              <w:start w:w="100" w:type="dxa"/>
              <w:bottom w:w="80" w:type="dxa"/>
              <w:end w:w="100" w:type="dxa"/>
            </w:tcMar>
          </w:tcPr>
          <w:p>
            <w:pPr>
              <w:spacing w:before="0" w:after="0" w:line="240" w:lineRule="auto"/>
            </w:pPr>
            <w:r/>
            <w:r>
              <w:rPr>
                <w:rFonts w:ascii="Calibri" w:hAnsi="Calibri"/>
                <w:b/>
                <w:color w:val="FFFFFF"/>
                <w:sz w:val="18"/>
              </w:rPr>
              <w:t>Parameter</w:t>
            </w:r>
          </w:p>
        </w:tc>
        <w:tc>
          <w:tcPr>
            <w:tcW w:type="dxa" w:w="5760"/>
            <w:shd w:fill="1F4E79"/>
            <w:vAlign w:val="center"/>
            <w:tcMar>
              <w:top w:w="80" w:type="dxa"/>
              <w:start w:w="100" w:type="dxa"/>
              <w:bottom w:w="80" w:type="dxa"/>
              <w:end w:w="100" w:type="dxa"/>
            </w:tcMar>
          </w:tcPr>
          <w:p>
            <w:pPr>
              <w:spacing w:before="0" w:after="0" w:line="240" w:lineRule="auto"/>
            </w:pPr>
            <w:r/>
            <w:r>
              <w:rPr>
                <w:rFonts w:ascii="Calibri" w:hAnsi="Calibri"/>
                <w:b/>
                <w:color w:val="FFFFFF"/>
                <w:sz w:val="18"/>
              </w:rPr>
              <w:t>Value / implementation</w:t>
            </w:r>
          </w:p>
        </w:tc>
      </w:tr>
      <w:tr>
        <w:tc>
          <w:tcPr>
            <w:tcW w:type="dxa" w:w="3528"/>
            <w:vAlign w:val="center"/>
            <w:tcMar>
              <w:top w:w="80" w:type="dxa"/>
              <w:start w:w="100" w:type="dxa"/>
              <w:bottom w:w="80" w:type="dxa"/>
              <w:end w:w="100" w:type="dxa"/>
            </w:tcMar>
          </w:tcPr>
          <w:p>
            <w:pPr>
              <w:spacing w:before="0" w:after="0" w:line="240" w:lineRule="auto"/>
            </w:pPr>
            <w:r/>
            <w:r>
              <w:rPr>
                <w:rFonts w:ascii="Calibri" w:hAnsi="Calibri"/>
                <w:b w:val="0"/>
                <w:color w:val="1F2937"/>
                <w:sz w:val="18"/>
              </w:rPr>
              <w:t>Simulation step</w:t>
            </w:r>
          </w:p>
        </w:tc>
        <w:tc>
          <w:tcPr>
            <w:tcW w:type="dxa" w:w="5760"/>
            <w:vAlign w:val="center"/>
            <w:tcMar>
              <w:top w:w="80" w:type="dxa"/>
              <w:start w:w="100" w:type="dxa"/>
              <w:bottom w:w="80" w:type="dxa"/>
              <w:end w:w="100" w:type="dxa"/>
            </w:tcMar>
          </w:tcPr>
          <w:p>
            <w:pPr>
              <w:spacing w:before="0" w:after="0" w:line="240" w:lineRule="auto"/>
            </w:pPr>
            <w:r/>
            <w:r>
              <w:rPr>
                <w:rFonts w:ascii="Calibri" w:hAnsi="Calibri"/>
                <w:b w:val="0"/>
                <w:color w:val="1F2937"/>
                <w:sz w:val="18"/>
              </w:rPr>
              <w:t>900 s (15 min)</w:t>
            </w:r>
          </w:p>
        </w:tc>
      </w:tr>
      <w:tr>
        <w:tc>
          <w:tcPr>
            <w:tcW w:type="dxa" w:w="352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Grid-import limit</w:t>
            </w:r>
          </w:p>
        </w:tc>
        <w:tc>
          <w:tcPr>
            <w:tcW w:type="dxa" w:w="576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100 kW</w:t>
            </w:r>
          </w:p>
        </w:tc>
      </w:tr>
      <w:tr>
        <w:tc>
          <w:tcPr>
            <w:tcW w:type="dxa" w:w="3528"/>
            <w:vAlign w:val="center"/>
            <w:tcMar>
              <w:top w:w="80" w:type="dxa"/>
              <w:start w:w="100" w:type="dxa"/>
              <w:bottom w:w="80" w:type="dxa"/>
              <w:end w:w="100" w:type="dxa"/>
            </w:tcMar>
          </w:tcPr>
          <w:p>
            <w:pPr>
              <w:spacing w:before="0" w:after="0" w:line="240" w:lineRule="auto"/>
            </w:pPr>
            <w:r/>
            <w:r>
              <w:rPr>
                <w:rFonts w:ascii="Calibri" w:hAnsi="Calibri"/>
                <w:b w:val="0"/>
                <w:color w:val="1F2937"/>
                <w:sz w:val="18"/>
              </w:rPr>
              <w:t>Final BESS design</w:t>
            </w:r>
          </w:p>
        </w:tc>
        <w:tc>
          <w:tcPr>
            <w:tcW w:type="dxa" w:w="5760"/>
            <w:vAlign w:val="center"/>
            <w:tcMar>
              <w:top w:w="80" w:type="dxa"/>
              <w:start w:w="100" w:type="dxa"/>
              <w:bottom w:w="80" w:type="dxa"/>
              <w:end w:w="100" w:type="dxa"/>
            </w:tcMar>
          </w:tcPr>
          <w:p>
            <w:pPr>
              <w:spacing w:before="0" w:after="0" w:line="240" w:lineRule="auto"/>
            </w:pPr>
            <w:r/>
            <w:r>
              <w:rPr>
                <w:rFonts w:ascii="Calibri" w:hAnsi="Calibri"/>
                <w:b w:val="0"/>
                <w:color w:val="1F2937"/>
                <w:sz w:val="18"/>
              </w:rPr>
              <w:t>340 kWh / 70 kW</w:t>
            </w:r>
          </w:p>
        </w:tc>
      </w:tr>
      <w:tr>
        <w:tc>
          <w:tcPr>
            <w:tcW w:type="dxa" w:w="352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SOC operating range</w:t>
            </w:r>
          </w:p>
        </w:tc>
        <w:tc>
          <w:tcPr>
            <w:tcW w:type="dxa" w:w="576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20%–90%</w:t>
            </w:r>
          </w:p>
        </w:tc>
      </w:tr>
      <w:tr>
        <w:tc>
          <w:tcPr>
            <w:tcW w:type="dxa" w:w="3528"/>
            <w:vAlign w:val="center"/>
            <w:tcMar>
              <w:top w:w="80" w:type="dxa"/>
              <w:start w:w="100" w:type="dxa"/>
              <w:bottom w:w="80" w:type="dxa"/>
              <w:end w:w="100" w:type="dxa"/>
            </w:tcMar>
          </w:tcPr>
          <w:p>
            <w:pPr>
              <w:spacing w:before="0" w:after="0" w:line="240" w:lineRule="auto"/>
            </w:pPr>
            <w:r/>
            <w:r>
              <w:rPr>
                <w:rFonts w:ascii="Calibri" w:hAnsi="Calibri"/>
                <w:b w:val="0"/>
                <w:color w:val="1F2937"/>
                <w:sz w:val="18"/>
              </w:rPr>
              <w:t>Charge/discharge efficiency</w:t>
            </w:r>
          </w:p>
        </w:tc>
        <w:tc>
          <w:tcPr>
            <w:tcW w:type="dxa" w:w="5760"/>
            <w:vAlign w:val="center"/>
            <w:tcMar>
              <w:top w:w="80" w:type="dxa"/>
              <w:start w:w="100" w:type="dxa"/>
              <w:bottom w:w="80" w:type="dxa"/>
              <w:end w:w="100" w:type="dxa"/>
            </w:tcMar>
          </w:tcPr>
          <w:p>
            <w:pPr>
              <w:spacing w:before="0" w:after="0" w:line="240" w:lineRule="auto"/>
            </w:pPr>
            <w:r/>
            <w:r>
              <w:rPr>
                <w:rFonts w:ascii="Calibri" w:hAnsi="Calibri"/>
                <w:b w:val="0"/>
                <w:color w:val="1F2937"/>
                <w:sz w:val="18"/>
              </w:rPr>
              <w:t>95% / 95%, fixed</w:t>
            </w:r>
          </w:p>
        </w:tc>
      </w:tr>
      <w:tr>
        <w:tc>
          <w:tcPr>
            <w:tcW w:type="dxa" w:w="352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Precharge target</w:t>
            </w:r>
          </w:p>
        </w:tc>
        <w:tc>
          <w:tcPr>
            <w:tcW w:type="dxa" w:w="576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90% SOC</w:t>
            </w:r>
          </w:p>
        </w:tc>
      </w:tr>
      <w:tr>
        <w:tc>
          <w:tcPr>
            <w:tcW w:type="dxa" w:w="3528"/>
            <w:vAlign w:val="center"/>
            <w:tcMar>
              <w:top w:w="80" w:type="dxa"/>
              <w:start w:w="100" w:type="dxa"/>
              <w:bottom w:w="80" w:type="dxa"/>
              <w:end w:w="100" w:type="dxa"/>
            </w:tcMar>
          </w:tcPr>
          <w:p>
            <w:pPr>
              <w:spacing w:before="0" w:after="0" w:line="240" w:lineRule="auto"/>
            </w:pPr>
            <w:r/>
            <w:r>
              <w:rPr>
                <w:rFonts w:ascii="Calibri" w:hAnsi="Calibri"/>
                <w:b w:val="0"/>
                <w:color w:val="1F2937"/>
                <w:sz w:val="18"/>
              </w:rPr>
              <w:t>Low-price threshold</w:t>
            </w:r>
          </w:p>
        </w:tc>
        <w:tc>
          <w:tcPr>
            <w:tcW w:type="dxa" w:w="5760"/>
            <w:vAlign w:val="center"/>
            <w:tcMar>
              <w:top w:w="80" w:type="dxa"/>
              <w:start w:w="100" w:type="dxa"/>
              <w:bottom w:w="80" w:type="dxa"/>
              <w:end w:w="100" w:type="dxa"/>
            </w:tcMar>
          </w:tcPr>
          <w:p>
            <w:pPr>
              <w:spacing w:before="0" w:after="0" w:line="240" w:lineRule="auto"/>
            </w:pPr>
            <w:r/>
            <w:r>
              <w:rPr>
                <w:rFonts w:ascii="Calibri" w:hAnsi="Calibri"/>
                <w:b w:val="0"/>
                <w:color w:val="1F2937"/>
                <w:sz w:val="18"/>
              </w:rPr>
              <w:t>Daily P25 economic clearing price</w:t>
            </w:r>
          </w:p>
        </w:tc>
      </w:tr>
      <w:tr>
        <w:tc>
          <w:tcPr>
            <w:tcW w:type="dxa" w:w="352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Deadline recovery</w:t>
            </w:r>
          </w:p>
        </w:tc>
        <w:tc>
          <w:tcPr>
            <w:tcW w:type="dxa" w:w="576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8"/>
              </w:rPr>
              <w:t>13:00–17:00 guardrail</w:t>
            </w:r>
          </w:p>
        </w:tc>
      </w:tr>
    </w:tbl>
    <w:p>
      <w:pPr>
        <w:spacing w:after="0"/>
      </w:pPr>
    </w:p>
    <w:p>
      <w:pPr>
        <w:pStyle w:val="Heading1"/>
      </w:pPr>
      <w:r>
        <w:t>4. Final Rule-based EMS Strategy</w:t>
      </w:r>
    </w:p>
    <w:p>
      <w:r>
        <w:t>The controller was deliberately kept interpretable. Reliability constraints are evaluated before accepting an economic dispatch action, and every command is saturated by SOC, energy, power-rating and grid-headroom limits.</w:t>
      </w:r>
    </w:p>
    <w:p>
      <w:pPr>
        <w:numPr>
          <w:ilvl w:val="0"/>
          <w:numId w:val="10"/>
        </w:numPr>
        <w:spacing w:after="80" w:line="245" w:lineRule="auto"/>
      </w:pPr>
      <w:r>
        <w:rPr>
          <w:rFonts w:ascii="Calibri" w:hAnsi="Calibri"/>
          <w:sz w:val="21"/>
        </w:rPr>
        <w:t>Calculate net load from the commercial load and PV profiles.</w:t>
      </w:r>
    </w:p>
    <w:p>
      <w:pPr>
        <w:numPr>
          <w:ilvl w:val="0"/>
          <w:numId w:val="10"/>
        </w:numPr>
        <w:spacing w:after="80" w:line="245" w:lineRule="auto"/>
      </w:pPr>
      <w:r>
        <w:rPr>
          <w:rFonts w:ascii="Calibri" w:hAnsi="Calibri"/>
          <w:sz w:val="21"/>
        </w:rPr>
        <w:t>Charge the battery from PV surplus while SOC remains below 90%.</w:t>
      </w:r>
    </w:p>
    <w:p>
      <w:pPr>
        <w:numPr>
          <w:ilvl w:val="0"/>
          <w:numId w:val="10"/>
        </w:numPr>
        <w:spacing w:after="80" w:line="245" w:lineRule="auto"/>
      </w:pPr>
      <w:r>
        <w:rPr>
          <w:rFonts w:ascii="Calibri" w:hAnsi="Calibri"/>
          <w:sz w:val="21"/>
        </w:rPr>
        <w:t>Discharge when net demand would push grid import above 100 kW.</w:t>
      </w:r>
    </w:p>
    <w:p>
      <w:pPr>
        <w:numPr>
          <w:ilvl w:val="0"/>
          <w:numId w:val="10"/>
        </w:numPr>
        <w:spacing w:after="80" w:line="245" w:lineRule="auto"/>
      </w:pPr>
      <w:r>
        <w:rPr>
          <w:rFonts w:ascii="Calibri" w:hAnsi="Calibri"/>
          <w:sz w:val="21"/>
        </w:rPr>
        <w:t>Use available grid headroom to precharge when forecast and state preparation indicate insufficient stored energy.</w:t>
      </w:r>
    </w:p>
    <w:p>
      <w:pPr>
        <w:numPr>
          <w:ilvl w:val="0"/>
          <w:numId w:val="10"/>
        </w:numPr>
        <w:spacing w:after="80" w:line="245" w:lineRule="auto"/>
      </w:pPr>
      <w:r>
        <w:rPr>
          <w:rFonts w:ascii="Calibri" w:hAnsi="Calibri"/>
          <w:sz w:val="21"/>
        </w:rPr>
        <w:t>In price-aware mode, prioritize charging during intervals below the daily P25 day-ahead price threshold.</w:t>
      </w:r>
    </w:p>
    <w:p>
      <w:pPr>
        <w:numPr>
          <w:ilvl w:val="0"/>
          <w:numId w:val="10"/>
        </w:numPr>
        <w:spacing w:after="80" w:line="245" w:lineRule="auto"/>
      </w:pPr>
      <w:r>
        <w:rPr>
          <w:rFonts w:ascii="Calibri" w:hAnsi="Calibri"/>
          <w:sz w:val="21"/>
        </w:rPr>
        <w:t>From 13:00 to 17:00, apply deadline SOC recovery when the low-price opportunity alone cannot restore the required pre-peak energy state.</w:t>
      </w:r>
    </w:p>
    <w:p>
      <w:pPr>
        <w:numPr>
          <w:ilvl w:val="0"/>
          <w:numId w:val="10"/>
        </w:numPr>
        <w:spacing w:after="80" w:line="245" w:lineRule="auto"/>
      </w:pPr>
      <w:r>
        <w:rPr>
          <w:rFonts w:ascii="Calibri" w:hAnsi="Calibri"/>
          <w:sz w:val="21"/>
        </w:rPr>
        <w:t>Record comparison-validity gates: grid reliability, terminal-SOC equivalence, SOC integration, battery-power rating and power balance.</w:t>
      </w:r>
    </w:p>
    <w:tbl>
      <w:tblPr>
        <w:tblStyle w:val="TableGrid"/>
        <w:tblW w:type="dxa" w:w="9288"/>
        <w:jc w:val="center"/>
        <w:tblLayout w:type="fixed"/>
        <w:tblLook w:firstColumn="1" w:firstRow="1" w:lastColumn="0" w:lastRow="0" w:noHBand="0" w:noVBand="1" w:val="04A0"/>
        <w:tblInd w:w="0" w:type="dxa"/>
      </w:tblPr>
      <w:tblGrid>
        <w:gridCol w:w="9288"/>
      </w:tblGrid>
      <w:tr>
        <w:trPr>
          <w:cantSplit/>
        </w:trPr>
        <w:tc>
          <w:tcPr>
            <w:tcW w:type="dxa" w:w="9288"/>
            <w:shd w:fill="E8F4EA"/>
            <w:tcMar>
              <w:top w:w="130" w:type="dxa"/>
              <w:start w:w="150" w:type="dxa"/>
              <w:bottom w:w="130" w:type="dxa"/>
              <w:end w:w="150" w:type="dxa"/>
            </w:tcMar>
          </w:tcPr>
          <w:p>
            <w:pPr>
              <w:spacing w:after="40"/>
            </w:pPr>
            <w:r>
              <w:rPr>
                <w:rFonts w:ascii="Calibri" w:hAnsi="Calibri"/>
                <w:b/>
                <w:color w:val="2E7D32"/>
                <w:sz w:val="18"/>
              </w:rPr>
              <w:t>ENGINEERING RATIONALE</w:t>
            </w:r>
          </w:p>
          <w:p>
            <w:pPr>
              <w:spacing w:after="0" w:line="245" w:lineRule="auto"/>
            </w:pPr>
            <w:r>
              <w:rPr>
                <w:rFonts w:ascii="Calibri" w:hAnsi="Calibri"/>
                <w:color w:val="1F2937"/>
                <w:sz w:val="20"/>
              </w:rPr>
              <w:t>Economic timing is accepted only after reliability and comparison validity are preserved. This prevents a lower-cost result from being credited simply because one strategy ends the day with less stored energy.</w:t>
            </w:r>
          </w:p>
        </w:tc>
      </w:tr>
    </w:tbl>
    <w:p>
      <w:pPr>
        <w:spacing w:after="0"/>
      </w:pPr>
    </w:p>
    <w:p>
      <w:r>
        <w:br w:type="page"/>
      </w:r>
    </w:p>
    <w:p>
      <w:pPr>
        <w:pStyle w:val="Heading1"/>
      </w:pPr>
      <w:r>
        <w:t>5. Nominal Prototype Performance</w:t>
      </w:r>
    </w:p>
    <w:p>
      <w:r>
        <w:t>The preliminary 200 kWh / 50 kW prototype established functional feasibility under a sunny, normal-load day. It reduced the baseline peak from 140 kW to the 100 kW grid limit.</w:t>
      </w:r>
    </w:p>
    <w:p>
      <w:pPr>
        <w:keepNext/>
        <w:spacing w:before="40" w:after="0"/>
        <w:jc w:val="center"/>
      </w:pPr>
      <w:r>
        <w:drawing>
          <wp:inline xmlns:a="http://schemas.openxmlformats.org/drawingml/2006/main" xmlns:pic="http://schemas.openxmlformats.org/drawingml/2006/picture">
            <wp:extent cx="5669280" cy="3790443"/>
            <wp:docPr id="2" name="Picture 2" descr="Figure 2. Preliminary 200 kWh / 50 kW prototype: baseline and EMS grid-power profiles." title="Preliminary 200 kWh / 50 kW prototype: baseline and EMS grid-power profiles."/>
            <wp:cNvGraphicFramePr>
              <a:graphicFrameLocks noChangeAspect="1"/>
            </wp:cNvGraphicFramePr>
            <a:graphic>
              <a:graphicData uri="http://schemas.openxmlformats.org/drawingml/2006/picture">
                <pic:pic>
                  <pic:nvPicPr>
                    <pic:cNvPr id="0" name="grid_power_comparison.png"/>
                    <pic:cNvPicPr/>
                  </pic:nvPicPr>
                  <pic:blipFill>
                    <a:blip r:embed="rId12"/>
                    <a:stretch>
                      <a:fillRect/>
                    </a:stretch>
                  </pic:blipFill>
                  <pic:spPr>
                    <a:xfrm>
                      <a:off x="0" y="0"/>
                      <a:ext cx="5669280" cy="3790443"/>
                    </a:xfrm>
                    <a:prstGeom prst="rect"/>
                  </pic:spPr>
                </pic:pic>
              </a:graphicData>
            </a:graphic>
          </wp:inline>
        </w:drawing>
      </w:r>
    </w:p>
    <w:p>
      <w:pPr>
        <w:pStyle w:val="Caption"/>
        <w:keepLines/>
        <w:spacing w:before="40" w:after="140"/>
        <w:jc w:val="center"/>
      </w:pPr>
      <w:r>
        <w:rPr>
          <w:rFonts w:ascii="Calibri" w:hAnsi="Calibri"/>
          <w:color w:val="667085"/>
          <w:sz w:val="17"/>
        </w:rPr>
        <w:t>Figure 2. Preliminary 200 kWh / 50 kW prototype: baseline and EMS grid-power profiles.</w:t>
      </w:r>
    </w:p>
    <w:tbl>
      <w:tblPr>
        <w:tblStyle w:val="TableGrid"/>
        <w:tblW w:type="dxa" w:w="9288"/>
        <w:jc w:val="center"/>
        <w:tblLayout w:type="fixed"/>
        <w:tblLook w:firstColumn="1" w:firstRow="1" w:lastColumn="0" w:lastRow="0" w:noHBand="0" w:noVBand="1" w:val="04A0"/>
        <w:tblInd w:w="0" w:type="dxa"/>
      </w:tblPr>
      <w:tblGrid>
        <w:gridCol w:w="2880"/>
        <w:gridCol w:w="1944"/>
        <w:gridCol w:w="4464"/>
      </w:tblGrid>
      <w:tr>
        <w:trPr>
          <w:cantSplit/>
          <w:tblHeader w:val="true"/>
        </w:trPr>
        <w:tc>
          <w:tcPr>
            <w:tcW w:type="dxa" w:w="2880"/>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KPI</w:t>
            </w:r>
          </w:p>
        </w:tc>
        <w:tc>
          <w:tcPr>
            <w:tcW w:type="dxa" w:w="1944"/>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Baseline</w:t>
            </w:r>
          </w:p>
        </w:tc>
        <w:tc>
          <w:tcPr>
            <w:tcW w:type="dxa" w:w="4464"/>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With EMS</w:t>
            </w:r>
          </w:p>
        </w:tc>
      </w:tr>
      <w:tr>
        <w:tc>
          <w:tcPr>
            <w:tcW w:type="dxa" w:w="2880"/>
            <w:vAlign w:val="center"/>
            <w:tcMar>
              <w:top w:w="80" w:type="dxa"/>
              <w:start w:w="100" w:type="dxa"/>
              <w:bottom w:w="80" w:type="dxa"/>
              <w:end w:w="100" w:type="dxa"/>
            </w:tcMar>
          </w:tcPr>
          <w:p>
            <w:pPr>
              <w:spacing w:before="0" w:after="0" w:line="240" w:lineRule="auto"/>
            </w:pPr>
            <w:r/>
            <w:r>
              <w:rPr>
                <w:rFonts w:ascii="Calibri" w:hAnsi="Calibri"/>
                <w:b w:val="0"/>
                <w:color w:val="1F2937"/>
                <w:sz w:val="17"/>
              </w:rPr>
              <w:t>Peak grid import</w:t>
            </w:r>
          </w:p>
        </w:tc>
        <w:tc>
          <w:tcPr>
            <w:tcW w:type="dxa" w:w="1944"/>
            <w:vAlign w:val="center"/>
            <w:tcMar>
              <w:top w:w="80" w:type="dxa"/>
              <w:start w:w="100" w:type="dxa"/>
              <w:bottom w:w="80" w:type="dxa"/>
              <w:end w:w="100" w:type="dxa"/>
            </w:tcMar>
          </w:tcPr>
          <w:p>
            <w:pPr>
              <w:spacing w:before="0" w:after="0" w:line="240" w:lineRule="auto"/>
            </w:pPr>
            <w:r/>
            <w:r>
              <w:rPr>
                <w:rFonts w:ascii="Calibri" w:hAnsi="Calibri"/>
                <w:b w:val="0"/>
                <w:color w:val="1F2937"/>
                <w:sz w:val="17"/>
              </w:rPr>
              <w:t>140.0 kW</w:t>
            </w:r>
          </w:p>
        </w:tc>
        <w:tc>
          <w:tcPr>
            <w:tcW w:type="dxa" w:w="4464"/>
            <w:vAlign w:val="center"/>
            <w:tcMar>
              <w:top w:w="80" w:type="dxa"/>
              <w:start w:w="100" w:type="dxa"/>
              <w:bottom w:w="80" w:type="dxa"/>
              <w:end w:w="100" w:type="dxa"/>
            </w:tcMar>
          </w:tcPr>
          <w:p>
            <w:pPr>
              <w:spacing w:before="0" w:after="0" w:line="240" w:lineRule="auto"/>
            </w:pPr>
            <w:r/>
            <w:r>
              <w:rPr>
                <w:rFonts w:ascii="Calibri" w:hAnsi="Calibri"/>
                <w:b w:val="0"/>
                <w:color w:val="1F2937"/>
                <w:sz w:val="17"/>
              </w:rPr>
              <w:t>100.0 kW</w:t>
            </w:r>
          </w:p>
        </w:tc>
      </w:tr>
      <w:tr>
        <w:tc>
          <w:tcPr>
            <w:tcW w:type="dxa" w:w="288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Daily grid import</w:t>
            </w:r>
          </w:p>
        </w:tc>
        <w:tc>
          <w:tcPr>
            <w:tcW w:type="dxa" w:w="194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1168.0 kWh</w:t>
            </w:r>
          </w:p>
        </w:tc>
        <w:tc>
          <w:tcPr>
            <w:tcW w:type="dxa" w:w="446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1057.7 kWh</w:t>
            </w:r>
          </w:p>
        </w:tc>
      </w:tr>
      <w:tr>
        <w:tc>
          <w:tcPr>
            <w:tcW w:type="dxa" w:w="2880"/>
            <w:vAlign w:val="center"/>
            <w:tcMar>
              <w:top w:w="80" w:type="dxa"/>
              <w:start w:w="100" w:type="dxa"/>
              <w:bottom w:w="80" w:type="dxa"/>
              <w:end w:w="100" w:type="dxa"/>
            </w:tcMar>
          </w:tcPr>
          <w:p>
            <w:pPr>
              <w:spacing w:before="0" w:after="0" w:line="240" w:lineRule="auto"/>
            </w:pPr>
            <w:r/>
            <w:r>
              <w:rPr>
                <w:rFonts w:ascii="Calibri" w:hAnsi="Calibri"/>
                <w:b w:val="0"/>
                <w:color w:val="1F2937"/>
                <w:sz w:val="17"/>
              </w:rPr>
              <w:t>PV self-consumption</w:t>
            </w:r>
          </w:p>
        </w:tc>
        <w:tc>
          <w:tcPr>
            <w:tcW w:type="dxa" w:w="1944"/>
            <w:vAlign w:val="center"/>
            <w:tcMar>
              <w:top w:w="80" w:type="dxa"/>
              <w:start w:w="100" w:type="dxa"/>
              <w:bottom w:w="80" w:type="dxa"/>
              <w:end w:w="100" w:type="dxa"/>
            </w:tcMar>
          </w:tcPr>
          <w:p>
            <w:pPr>
              <w:spacing w:before="0" w:after="0" w:line="240" w:lineRule="auto"/>
            </w:pPr>
            <w:r/>
            <w:r>
              <w:rPr>
                <w:rFonts w:ascii="Calibri" w:hAnsi="Calibri"/>
                <w:b w:val="0"/>
                <w:color w:val="1F2937"/>
                <w:sz w:val="17"/>
              </w:rPr>
              <w:t>92.1%</w:t>
            </w:r>
          </w:p>
        </w:tc>
        <w:tc>
          <w:tcPr>
            <w:tcW w:type="dxa" w:w="4464"/>
            <w:vAlign w:val="center"/>
            <w:tcMar>
              <w:top w:w="80" w:type="dxa"/>
              <w:start w:w="100" w:type="dxa"/>
              <w:bottom w:w="80" w:type="dxa"/>
              <w:end w:w="100" w:type="dxa"/>
            </w:tcMar>
          </w:tcPr>
          <w:p>
            <w:pPr>
              <w:spacing w:before="0" w:after="0" w:line="240" w:lineRule="auto"/>
            </w:pPr>
            <w:r/>
            <w:r>
              <w:rPr>
                <w:rFonts w:ascii="Calibri" w:hAnsi="Calibri"/>
                <w:b w:val="0"/>
                <w:color w:val="1F2937"/>
                <w:sz w:val="17"/>
              </w:rPr>
              <w:t>100.0%</w:t>
            </w:r>
          </w:p>
        </w:tc>
      </w:tr>
      <w:tr>
        <w:tc>
          <w:tcPr>
            <w:tcW w:type="dxa" w:w="288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Battery / model checks</w:t>
            </w:r>
          </w:p>
        </w:tc>
        <w:tc>
          <w:tcPr>
            <w:tcW w:type="dxa" w:w="194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w:t>
            </w:r>
          </w:p>
        </w:tc>
        <w:tc>
          <w:tcPr>
            <w:tcW w:type="dxa" w:w="446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179.1 kWh throughput; SOC 24.7%–82.7%; balance error 0 kW</w:t>
            </w:r>
          </w:p>
        </w:tc>
      </w:tr>
    </w:tbl>
    <w:p>
      <w:pPr>
        <w:spacing w:after="0"/>
      </w:pPr>
    </w:p>
    <w:tbl>
      <w:tblPr>
        <w:tblStyle w:val="TableGrid"/>
        <w:tblW w:type="dxa" w:w="9288"/>
        <w:jc w:val="center"/>
        <w:tblLayout w:type="fixed"/>
        <w:tblLook w:firstColumn="1" w:firstRow="1" w:lastColumn="0" w:lastRow="0" w:noHBand="0" w:noVBand="1" w:val="04A0"/>
        <w:tblInd w:w="0" w:type="dxa"/>
      </w:tblPr>
      <w:tblGrid>
        <w:gridCol w:w="9288"/>
      </w:tblGrid>
      <w:tr>
        <w:trPr>
          <w:cantSplit/>
        </w:trPr>
        <w:tc>
          <w:tcPr>
            <w:tcW w:type="dxa" w:w="9288"/>
            <w:shd w:fill="EEF4F9"/>
            <w:tcMar>
              <w:top w:w="130" w:type="dxa"/>
              <w:start w:w="150" w:type="dxa"/>
              <w:bottom w:w="130" w:type="dxa"/>
              <w:end w:w="150" w:type="dxa"/>
            </w:tcMar>
          </w:tcPr>
          <w:p>
            <w:pPr>
              <w:spacing w:after="40"/>
            </w:pPr>
            <w:r>
              <w:rPr>
                <w:rFonts w:ascii="Calibri" w:hAnsi="Calibri"/>
                <w:b/>
                <w:color w:val="1F4E79"/>
                <w:sz w:val="18"/>
              </w:rPr>
              <w:t>DESIGN LESSON</w:t>
            </w:r>
          </w:p>
          <w:p>
            <w:pPr>
              <w:spacing w:after="0" w:line="245" w:lineRule="auto"/>
            </w:pPr>
            <w:r>
              <w:rPr>
                <w:rFonts w:ascii="Calibri" w:hAnsi="Calibri"/>
                <w:color w:val="1F2937"/>
                <w:sz w:val="20"/>
              </w:rPr>
              <w:t>Nominal success was not treated as proof of adequate BESS sizing; high-load and cloudy cases were tested next.</w:t>
            </w:r>
          </w:p>
        </w:tc>
      </w:tr>
    </w:tbl>
    <w:p>
      <w:pPr>
        <w:spacing w:after="0"/>
      </w:pPr>
    </w:p>
    <w:p>
      <w:r>
        <w:br w:type="page"/>
      </w:r>
    </w:p>
    <w:p>
      <w:pPr>
        <w:pStyle w:val="Heading1"/>
      </w:pPr>
      <w:r>
        <w:t>6. Adverse-scenario Sizing and Engineering Selection</w:t>
      </w:r>
    </w:p>
    <w:p>
      <w:r>
        <w:t>Scenario testing separated power adequacy from energy adequacy. A 70 kW converter rating exceeded the estimated 61 kW peak discharge requirement, yet the 300 kWh design still failed the cloudy/high-load case. The dominant constraint was therefore usable energy capacity.</w:t>
      </w:r>
    </w:p>
    <w:p>
      <w:pPr>
        <w:keepNext/>
        <w:spacing w:before="40" w:after="0"/>
        <w:jc w:val="center"/>
      </w:pPr>
      <w:r>
        <w:drawing>
          <wp:inline xmlns:a="http://schemas.openxmlformats.org/drawingml/2006/main" xmlns:pic="http://schemas.openxmlformats.org/drawingml/2006/picture">
            <wp:extent cx="5715000" cy="3554808"/>
            <wp:docPr id="3" name="Picture 3" descr="Figure 3. Worst-case capacity sweep at a fixed 70 kW BESS power rating." title="Worst-case capacity sweep at a fixed 70 kW BESS power rating."/>
            <wp:cNvGraphicFramePr>
              <a:graphicFrameLocks noChangeAspect="1"/>
            </wp:cNvGraphicFramePr>
            <a:graphic>
              <a:graphicData uri="http://schemas.openxmlformats.org/drawingml/2006/picture">
                <pic:pic>
                  <pic:nvPicPr>
                    <pic:cNvPr id="0" name="worst_case_capacity_sizing.png"/>
                    <pic:cNvPicPr/>
                  </pic:nvPicPr>
                  <pic:blipFill>
                    <a:blip r:embed="rId13"/>
                    <a:stretch>
                      <a:fillRect/>
                    </a:stretch>
                  </pic:blipFill>
                  <pic:spPr>
                    <a:xfrm>
                      <a:off x="0" y="0"/>
                      <a:ext cx="5715000" cy="3554808"/>
                    </a:xfrm>
                    <a:prstGeom prst="rect"/>
                  </pic:spPr>
                </pic:pic>
              </a:graphicData>
            </a:graphic>
          </wp:inline>
        </w:drawing>
      </w:r>
    </w:p>
    <w:p>
      <w:pPr>
        <w:pStyle w:val="Caption"/>
        <w:keepLines/>
        <w:spacing w:before="40" w:after="140"/>
        <w:jc w:val="center"/>
      </w:pPr>
      <w:r>
        <w:rPr>
          <w:rFonts w:ascii="Calibri" w:hAnsi="Calibri"/>
          <w:color w:val="667085"/>
          <w:sz w:val="17"/>
        </w:rPr>
        <w:t>Figure 3. Worst-case capacity sweep at a fixed 70 kW BESS power rating.</w:t>
      </w:r>
    </w:p>
    <w:tbl>
      <w:tblPr>
        <w:tblStyle w:val="TableGrid"/>
        <w:tblW w:type="dxa" w:w="9288"/>
        <w:jc w:val="center"/>
        <w:tblLayout w:type="fixed"/>
        <w:tblLook w:firstColumn="1" w:firstRow="1" w:lastColumn="0" w:lastRow="0" w:noHBand="0" w:noVBand="1" w:val="04A0"/>
        <w:tblInd w:w="0" w:type="dxa"/>
      </w:tblPr>
      <w:tblGrid>
        <w:gridCol w:w="1800"/>
        <w:gridCol w:w="1944"/>
        <w:gridCol w:w="1440"/>
        <w:gridCol w:w="1296"/>
        <w:gridCol w:w="2808"/>
      </w:tblGrid>
      <w:tr>
        <w:trPr>
          <w:cantSplit/>
          <w:tblHeader w:val="true"/>
        </w:trPr>
        <w:tc>
          <w:tcPr>
            <w:tcW w:type="dxa" w:w="1800"/>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Configuration</w:t>
            </w:r>
          </w:p>
        </w:tc>
        <w:tc>
          <w:tcPr>
            <w:tcW w:type="dxa" w:w="1944"/>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Case</w:t>
            </w:r>
          </w:p>
        </w:tc>
        <w:tc>
          <w:tcPr>
            <w:tcW w:type="dxa" w:w="1440"/>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Peak grid</w:t>
            </w:r>
          </w:p>
        </w:tc>
        <w:tc>
          <w:tcPr>
            <w:tcW w:type="dxa" w:w="1296"/>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Min SOC</w:t>
            </w:r>
          </w:p>
        </w:tc>
        <w:tc>
          <w:tcPr>
            <w:tcW w:type="dxa" w:w="2808"/>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Decision</w:t>
            </w:r>
          </w:p>
        </w:tc>
      </w:tr>
      <w:tr>
        <w:tc>
          <w:tcPr>
            <w:tcW w:type="dxa" w:w="1800"/>
            <w:vAlign w:val="center"/>
            <w:tcMar>
              <w:top w:w="80" w:type="dxa"/>
              <w:start w:w="100" w:type="dxa"/>
              <w:bottom w:w="80" w:type="dxa"/>
              <w:end w:w="100" w:type="dxa"/>
            </w:tcMar>
          </w:tcPr>
          <w:p>
            <w:pPr>
              <w:spacing w:before="0" w:after="0" w:line="240" w:lineRule="auto"/>
            </w:pPr>
            <w:r/>
            <w:r>
              <w:rPr>
                <w:rFonts w:ascii="Calibri" w:hAnsi="Calibri"/>
                <w:b w:val="0"/>
                <w:color w:val="1F2937"/>
                <w:sz w:val="16"/>
              </w:rPr>
              <w:t>200 kWh / 50 kW</w:t>
            </w:r>
          </w:p>
        </w:tc>
        <w:tc>
          <w:tcPr>
            <w:tcW w:type="dxa" w:w="1944"/>
            <w:vAlign w:val="center"/>
            <w:tcMar>
              <w:top w:w="80" w:type="dxa"/>
              <w:start w:w="100" w:type="dxa"/>
              <w:bottom w:w="80" w:type="dxa"/>
              <w:end w:w="100" w:type="dxa"/>
            </w:tcMar>
          </w:tcPr>
          <w:p>
            <w:pPr>
              <w:spacing w:before="0" w:after="0" w:line="240" w:lineRule="auto"/>
            </w:pPr>
            <w:r/>
            <w:r>
              <w:rPr>
                <w:rFonts w:ascii="Calibri" w:hAnsi="Calibri"/>
                <w:b w:val="0"/>
                <w:color w:val="1F2937"/>
                <w:sz w:val="16"/>
              </w:rPr>
              <w:t>High-load cases</w:t>
            </w:r>
          </w:p>
        </w:tc>
        <w:tc>
          <w:tcPr>
            <w:tcW w:type="dxa" w:w="1440"/>
            <w:vAlign w:val="center"/>
            <w:tcMar>
              <w:top w:w="80" w:type="dxa"/>
              <w:start w:w="100" w:type="dxa"/>
              <w:bottom w:w="80" w:type="dxa"/>
              <w:end w:w="100" w:type="dxa"/>
            </w:tcMar>
          </w:tcPr>
          <w:p>
            <w:pPr>
              <w:spacing w:before="0" w:after="0" w:line="240" w:lineRule="auto"/>
            </w:pPr>
            <w:r/>
            <w:r>
              <w:rPr>
                <w:rFonts w:ascii="Calibri" w:hAnsi="Calibri"/>
                <w:b w:val="0"/>
                <w:color w:val="1F2937"/>
                <w:sz w:val="16"/>
              </w:rPr>
              <w:t>147.2 kW</w:t>
            </w:r>
          </w:p>
        </w:tc>
        <w:tc>
          <w:tcPr>
            <w:tcW w:type="dxa" w:w="1296"/>
            <w:vAlign w:val="center"/>
            <w:tcMar>
              <w:top w:w="80" w:type="dxa"/>
              <w:start w:w="100" w:type="dxa"/>
              <w:bottom w:w="80" w:type="dxa"/>
              <w:end w:w="100" w:type="dxa"/>
            </w:tcMar>
          </w:tcPr>
          <w:p>
            <w:pPr>
              <w:spacing w:before="0" w:after="0" w:line="240" w:lineRule="auto"/>
            </w:pPr>
            <w:r/>
            <w:r>
              <w:rPr>
                <w:rFonts w:ascii="Calibri" w:hAnsi="Calibri"/>
                <w:b w:val="0"/>
                <w:color w:val="1F2937"/>
                <w:sz w:val="16"/>
              </w:rPr>
              <w:t>20.0%</w:t>
            </w:r>
          </w:p>
        </w:tc>
        <w:tc>
          <w:tcPr>
            <w:tcW w:type="dxa" w:w="2808"/>
            <w:vAlign w:val="center"/>
            <w:tcMar>
              <w:top w:w="80" w:type="dxa"/>
              <w:start w:w="100" w:type="dxa"/>
              <w:bottom w:w="80" w:type="dxa"/>
              <w:end w:w="100" w:type="dxa"/>
            </w:tcMar>
          </w:tcPr>
          <w:p>
            <w:pPr>
              <w:spacing w:before="0" w:after="0" w:line="240" w:lineRule="auto"/>
            </w:pPr>
            <w:r/>
            <w:r>
              <w:rPr>
                <w:rFonts w:ascii="Calibri" w:hAnsi="Calibri"/>
                <w:b w:val="0"/>
                <w:color w:val="1F2937"/>
                <w:sz w:val="16"/>
              </w:rPr>
              <w:t>Failed: power and energy constrained</w:t>
            </w:r>
          </w:p>
        </w:tc>
      </w:tr>
      <w:tr>
        <w:tc>
          <w:tcPr>
            <w:tcW w:type="dxa" w:w="180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300 kWh / 70 kW</w:t>
            </w:r>
          </w:p>
        </w:tc>
        <w:tc>
          <w:tcPr>
            <w:tcW w:type="dxa" w:w="194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Cloudy / high load</w:t>
            </w:r>
          </w:p>
        </w:tc>
        <w:tc>
          <w:tcPr>
            <w:tcW w:type="dxa" w:w="144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113.12 kW</w:t>
            </w:r>
          </w:p>
        </w:tc>
        <w:tc>
          <w:tcPr>
            <w:tcW w:type="dxa" w:w="1296"/>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20.0%</w:t>
            </w:r>
          </w:p>
        </w:tc>
        <w:tc>
          <w:tcPr>
            <w:tcW w:type="dxa" w:w="280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Failed: 4.9046 kWh exceedance</w:t>
            </w:r>
          </w:p>
        </w:tc>
      </w:tr>
      <w:tr>
        <w:tc>
          <w:tcPr>
            <w:tcW w:type="dxa" w:w="1800"/>
            <w:vAlign w:val="center"/>
            <w:tcMar>
              <w:top w:w="80" w:type="dxa"/>
              <w:start w:w="100" w:type="dxa"/>
              <w:bottom w:w="80" w:type="dxa"/>
              <w:end w:w="100" w:type="dxa"/>
            </w:tcMar>
          </w:tcPr>
          <w:p>
            <w:pPr>
              <w:spacing w:before="0" w:after="0" w:line="240" w:lineRule="auto"/>
            </w:pPr>
            <w:r/>
            <w:r>
              <w:rPr>
                <w:rFonts w:ascii="Calibri" w:hAnsi="Calibri"/>
                <w:b w:val="0"/>
                <w:color w:val="1F2937"/>
                <w:sz w:val="16"/>
              </w:rPr>
              <w:t>310 kWh / 70 kW</w:t>
            </w:r>
          </w:p>
        </w:tc>
        <w:tc>
          <w:tcPr>
            <w:tcW w:type="dxa" w:w="1944"/>
            <w:vAlign w:val="center"/>
            <w:tcMar>
              <w:top w:w="80" w:type="dxa"/>
              <w:start w:w="100" w:type="dxa"/>
              <w:bottom w:w="80" w:type="dxa"/>
              <w:end w:w="100" w:type="dxa"/>
            </w:tcMar>
          </w:tcPr>
          <w:p>
            <w:pPr>
              <w:spacing w:before="0" w:after="0" w:line="240" w:lineRule="auto"/>
            </w:pPr>
            <w:r/>
            <w:r>
              <w:rPr>
                <w:rFonts w:ascii="Calibri" w:hAnsi="Calibri"/>
                <w:b w:val="0"/>
                <w:color w:val="1F2937"/>
                <w:sz w:val="16"/>
              </w:rPr>
              <w:t>Cloudy / high load</w:t>
            </w:r>
          </w:p>
        </w:tc>
        <w:tc>
          <w:tcPr>
            <w:tcW w:type="dxa" w:w="1440"/>
            <w:vAlign w:val="center"/>
            <w:tcMar>
              <w:top w:w="80" w:type="dxa"/>
              <w:start w:w="100" w:type="dxa"/>
              <w:bottom w:w="80" w:type="dxa"/>
              <w:end w:w="100" w:type="dxa"/>
            </w:tcMar>
          </w:tcPr>
          <w:p>
            <w:pPr>
              <w:spacing w:before="0" w:after="0" w:line="240" w:lineRule="auto"/>
            </w:pPr>
            <w:r/>
            <w:r>
              <w:rPr>
                <w:rFonts w:ascii="Calibri" w:hAnsi="Calibri"/>
                <w:b w:val="0"/>
                <w:color w:val="1F2937"/>
                <w:sz w:val="16"/>
              </w:rPr>
              <w:t>100.0 kW</w:t>
            </w:r>
          </w:p>
        </w:tc>
        <w:tc>
          <w:tcPr>
            <w:tcW w:type="dxa" w:w="1296"/>
            <w:vAlign w:val="center"/>
            <w:tcMar>
              <w:top w:w="80" w:type="dxa"/>
              <w:start w:w="100" w:type="dxa"/>
              <w:bottom w:w="80" w:type="dxa"/>
              <w:end w:w="100" w:type="dxa"/>
            </w:tcMar>
          </w:tcPr>
          <w:p>
            <w:pPr>
              <w:spacing w:before="0" w:after="0" w:line="240" w:lineRule="auto"/>
            </w:pPr>
            <w:r/>
            <w:r>
              <w:rPr>
                <w:rFonts w:ascii="Calibri" w:hAnsi="Calibri"/>
                <w:b w:val="0"/>
                <w:color w:val="1F2937"/>
                <w:sz w:val="16"/>
              </w:rPr>
              <w:t>20.593%</w:t>
            </w:r>
          </w:p>
        </w:tc>
        <w:tc>
          <w:tcPr>
            <w:tcW w:type="dxa" w:w="2808"/>
            <w:vAlign w:val="center"/>
            <w:tcMar>
              <w:top w:w="80" w:type="dxa"/>
              <w:start w:w="100" w:type="dxa"/>
              <w:bottom w:w="80" w:type="dxa"/>
              <w:end w:w="100" w:type="dxa"/>
            </w:tcMar>
          </w:tcPr>
          <w:p>
            <w:pPr>
              <w:spacing w:before="0" w:after="0" w:line="240" w:lineRule="auto"/>
            </w:pPr>
            <w:r/>
            <w:r>
              <w:rPr>
                <w:rFonts w:ascii="Calibri" w:hAnsi="Calibri"/>
                <w:b w:val="0"/>
                <w:color w:val="1F2937"/>
                <w:sz w:val="16"/>
              </w:rPr>
              <w:t>First tested feasible point; negligible margin</w:t>
            </w:r>
          </w:p>
        </w:tc>
      </w:tr>
      <w:tr>
        <w:tc>
          <w:tcPr>
            <w:tcW w:type="dxa" w:w="180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340 kWh / 70 kW</w:t>
            </w:r>
          </w:p>
        </w:tc>
        <w:tc>
          <w:tcPr>
            <w:tcW w:type="dxa" w:w="194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Cloudy / high load</w:t>
            </w:r>
          </w:p>
        </w:tc>
        <w:tc>
          <w:tcPr>
            <w:tcW w:type="dxa" w:w="1440"/>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100.0 kW</w:t>
            </w:r>
          </w:p>
        </w:tc>
        <w:tc>
          <w:tcPr>
            <w:tcW w:type="dxa" w:w="1296"/>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26.717%</w:t>
            </w:r>
          </w:p>
        </w:tc>
        <w:tc>
          <w:tcPr>
            <w:tcW w:type="dxa" w:w="280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Selected: first tested point above 25% target</w:t>
            </w:r>
          </w:p>
        </w:tc>
      </w:tr>
    </w:tbl>
    <w:p>
      <w:pPr>
        <w:spacing w:after="0"/>
      </w:pPr>
    </w:p>
    <w:tbl>
      <w:tblPr>
        <w:tblStyle w:val="TableGrid"/>
        <w:tblW w:type="dxa" w:w="9288"/>
        <w:jc w:val="center"/>
        <w:tblLayout w:type="fixed"/>
        <w:tblLook w:firstColumn="1" w:firstRow="1" w:lastColumn="0" w:lastRow="0" w:noHBand="0" w:noVBand="1" w:val="04A0"/>
        <w:tblInd w:w="0" w:type="dxa"/>
      </w:tblPr>
      <w:tblGrid>
        <w:gridCol w:w="9288"/>
      </w:tblGrid>
      <w:tr>
        <w:trPr>
          <w:cantSplit/>
        </w:trPr>
        <w:tc>
          <w:tcPr>
            <w:tcW w:type="dxa" w:w="9288"/>
            <w:shd w:fill="E8F4EA"/>
            <w:tcMar>
              <w:top w:w="130" w:type="dxa"/>
              <w:start w:w="150" w:type="dxa"/>
              <w:bottom w:w="130" w:type="dxa"/>
              <w:end w:w="150" w:type="dxa"/>
            </w:tcMar>
          </w:tcPr>
          <w:p>
            <w:pPr>
              <w:spacing w:after="40"/>
            </w:pPr>
            <w:r>
              <w:rPr>
                <w:rFonts w:ascii="Calibri" w:hAnsi="Calibri"/>
                <w:b/>
                <w:color w:val="2E7D32"/>
                <w:sz w:val="18"/>
              </w:rPr>
              <w:t>SELECTED DESIGN</w:t>
            </w:r>
          </w:p>
          <w:p>
            <w:pPr>
              <w:spacing w:after="0" w:line="245" w:lineRule="auto"/>
            </w:pPr>
            <w:r>
              <w:rPr>
                <w:rFonts w:ascii="Calibri" w:hAnsi="Calibri"/>
                <w:color w:val="1F2937"/>
                <w:sz w:val="20"/>
              </w:rPr>
              <w:t>340 kWh / 70 kW is the first tested configuration satisfying both the 100 kW grid limit and a five-percentage-point SOC operating margin in the defined worst case. The recommendation is profile- and assumption-specific and must be mapped to supplier product ratings before deployment.</w:t>
            </w:r>
          </w:p>
        </w:tc>
      </w:tr>
    </w:tbl>
    <w:p>
      <w:pPr>
        <w:spacing w:after="0"/>
      </w:pPr>
    </w:p>
    <w:p>
      <w:r>
        <w:br w:type="page"/>
      </w:r>
    </w:p>
    <w:p>
      <w:pPr>
        <w:pStyle w:val="Heading1"/>
      </w:pPr>
      <w:r>
        <w:t>7. Multi-day SOC Continuity and Controller Upgrade</w:t>
      </w:r>
    </w:p>
    <w:p>
      <w:r>
        <w:t>The first sequential study demonstrated exact SOC handover but exposed a readiness failure when precharging was disabled on a day that began with insufficient energy. Failure diagnosis led to a state-aware schedule that considered both the upcoming scenario and the inherited SOC.</w:t>
      </w:r>
    </w:p>
    <w:p>
      <w:pPr>
        <w:keepNext/>
        <w:spacing w:before="40" w:after="0"/>
        <w:jc w:val="center"/>
      </w:pPr>
      <w:r>
        <w:drawing>
          <wp:inline xmlns:a="http://schemas.openxmlformats.org/drawingml/2006/main" xmlns:pic="http://schemas.openxmlformats.org/drawingml/2006/picture">
            <wp:extent cx="5715000" cy="3586027"/>
            <wp:docPr id="4" name="Picture 4" descr="Figure 4. Final 14-day comparison of no-precharge, forecast-only and state-aware strategies." title="Final 14-day comparison of no-precharge, forecast-only and state-aware strategies."/>
            <wp:cNvGraphicFramePr>
              <a:graphicFrameLocks noChangeAspect="1"/>
            </wp:cNvGraphicFramePr>
            <a:graphic>
              <a:graphicData uri="http://schemas.openxmlformats.org/drawingml/2006/picture">
                <pic:pic>
                  <pic:nvPicPr>
                    <pic:cNvPr id="0" name="fourteen_day_strategy_comparison.png"/>
                    <pic:cNvPicPr/>
                  </pic:nvPicPr>
                  <pic:blipFill>
                    <a:blip r:embed="rId14"/>
                    <a:stretch>
                      <a:fillRect/>
                    </a:stretch>
                  </pic:blipFill>
                  <pic:spPr>
                    <a:xfrm>
                      <a:off x="0" y="0"/>
                      <a:ext cx="5715000" cy="3586027"/>
                    </a:xfrm>
                    <a:prstGeom prst="rect"/>
                  </pic:spPr>
                </pic:pic>
              </a:graphicData>
            </a:graphic>
          </wp:inline>
        </w:drawing>
      </w:r>
    </w:p>
    <w:p>
      <w:pPr>
        <w:pStyle w:val="Caption"/>
        <w:keepLines/>
        <w:spacing w:before="40" w:after="140"/>
        <w:jc w:val="center"/>
      </w:pPr>
      <w:r>
        <w:rPr>
          <w:rFonts w:ascii="Calibri" w:hAnsi="Calibri"/>
          <w:color w:val="667085"/>
          <w:sz w:val="17"/>
        </w:rPr>
        <w:t>Figure 4. Final 14-day comparison of no-precharge, forecast-only and state-aware strategies.</w:t>
      </w:r>
    </w:p>
    <w:tbl>
      <w:tblPr>
        <w:tblStyle w:val="TableGrid"/>
        <w:tblW w:type="dxa" w:w="9287"/>
        <w:jc w:val="center"/>
        <w:tblLayout w:type="fixed"/>
        <w:tblLook w:firstColumn="1" w:firstRow="1" w:lastColumn="0" w:lastRow="0" w:noHBand="0" w:noVBand="1" w:val="04A0"/>
        <w:tblInd w:w="0" w:type="dxa"/>
      </w:tblPr>
      <w:tblGrid>
        <w:gridCol w:w="2808"/>
        <w:gridCol w:w="1655"/>
        <w:gridCol w:w="1512"/>
        <w:gridCol w:w="1655"/>
        <w:gridCol w:w="1655"/>
      </w:tblGrid>
      <w:tr>
        <w:trPr>
          <w:cantSplit/>
          <w:tblHeader w:val="true"/>
        </w:trPr>
        <w:tc>
          <w:tcPr>
            <w:tcW w:type="dxa" w:w="2808"/>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Strategy</w:t>
            </w:r>
          </w:p>
        </w:tc>
        <w:tc>
          <w:tcPr>
            <w:tcW w:type="dxa" w:w="1656"/>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Compliant days</w:t>
            </w:r>
          </w:p>
        </w:tc>
        <w:tc>
          <w:tcPr>
            <w:tcW w:type="dxa" w:w="1512"/>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Max grid</w:t>
            </w:r>
          </w:p>
        </w:tc>
        <w:tc>
          <w:tcPr>
            <w:tcW w:type="dxa" w:w="1656"/>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Exceedance</w:t>
            </w:r>
          </w:p>
        </w:tc>
        <w:tc>
          <w:tcPr>
            <w:tcW w:type="dxa" w:w="1656"/>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Min SOC</w:t>
            </w:r>
          </w:p>
        </w:tc>
      </w:tr>
      <w:tr>
        <w:tc>
          <w:tcPr>
            <w:tcW w:type="dxa" w:w="2808"/>
            <w:vAlign w:val="center"/>
            <w:tcMar>
              <w:top w:w="80" w:type="dxa"/>
              <w:start w:w="100" w:type="dxa"/>
              <w:bottom w:w="80" w:type="dxa"/>
              <w:end w:w="100" w:type="dxa"/>
            </w:tcMar>
          </w:tcPr>
          <w:p>
            <w:pPr>
              <w:spacing w:before="0" w:after="0" w:line="240" w:lineRule="auto"/>
            </w:pPr>
            <w:r/>
            <w:r>
              <w:rPr>
                <w:rFonts w:ascii="Calibri" w:hAnsi="Calibri"/>
                <w:b w:val="0"/>
                <w:color w:val="1F2937"/>
                <w:sz w:val="17"/>
              </w:rPr>
              <w:t>No precharge</w:t>
            </w:r>
          </w:p>
        </w:tc>
        <w:tc>
          <w:tcPr>
            <w:tcW w:type="dxa" w:w="1655"/>
            <w:vAlign w:val="center"/>
            <w:tcMar>
              <w:top w:w="80" w:type="dxa"/>
              <w:start w:w="100" w:type="dxa"/>
              <w:bottom w:w="80" w:type="dxa"/>
              <w:end w:w="100" w:type="dxa"/>
            </w:tcMar>
          </w:tcPr>
          <w:p>
            <w:pPr>
              <w:spacing w:before="0" w:after="0" w:line="240" w:lineRule="auto"/>
            </w:pPr>
            <w:r/>
            <w:r>
              <w:rPr>
                <w:rFonts w:ascii="Calibri" w:hAnsi="Calibri"/>
                <w:b w:val="0"/>
                <w:color w:val="1F2937"/>
                <w:sz w:val="17"/>
              </w:rPr>
              <w:t>2 / 14</w:t>
            </w:r>
          </w:p>
        </w:tc>
        <w:tc>
          <w:tcPr>
            <w:tcW w:type="dxa" w:w="1512"/>
            <w:vAlign w:val="center"/>
            <w:tcMar>
              <w:top w:w="80" w:type="dxa"/>
              <w:start w:w="100" w:type="dxa"/>
              <w:bottom w:w="80" w:type="dxa"/>
              <w:end w:w="100" w:type="dxa"/>
            </w:tcMar>
          </w:tcPr>
          <w:p>
            <w:pPr>
              <w:spacing w:before="0" w:after="0" w:line="240" w:lineRule="auto"/>
            </w:pPr>
            <w:r/>
            <w:r>
              <w:rPr>
                <w:rFonts w:ascii="Calibri" w:hAnsi="Calibri"/>
                <w:b w:val="0"/>
                <w:color w:val="1F2937"/>
                <w:sz w:val="17"/>
              </w:rPr>
              <w:t>161.00 kW</w:t>
            </w:r>
          </w:p>
        </w:tc>
        <w:tc>
          <w:tcPr>
            <w:tcW w:type="dxa" w:w="1655"/>
            <w:vAlign w:val="center"/>
            <w:tcMar>
              <w:top w:w="80" w:type="dxa"/>
              <w:start w:w="100" w:type="dxa"/>
              <w:bottom w:w="80" w:type="dxa"/>
              <w:end w:w="100" w:type="dxa"/>
            </w:tcMar>
          </w:tcPr>
          <w:p>
            <w:pPr>
              <w:spacing w:before="0" w:after="0" w:line="240" w:lineRule="auto"/>
            </w:pPr>
            <w:r/>
            <w:r>
              <w:rPr>
                <w:rFonts w:ascii="Calibri" w:hAnsi="Calibri"/>
                <w:b w:val="0"/>
                <w:color w:val="1F2937"/>
                <w:sz w:val="17"/>
              </w:rPr>
              <w:t>1604.84 kWh</w:t>
            </w:r>
          </w:p>
        </w:tc>
        <w:tc>
          <w:tcPr>
            <w:tcW w:type="dxa" w:w="1655"/>
            <w:vAlign w:val="center"/>
            <w:tcMar>
              <w:top w:w="80" w:type="dxa"/>
              <w:start w:w="100" w:type="dxa"/>
              <w:bottom w:w="80" w:type="dxa"/>
              <w:end w:w="100" w:type="dxa"/>
            </w:tcMar>
          </w:tcPr>
          <w:p>
            <w:pPr>
              <w:spacing w:before="0" w:after="0" w:line="240" w:lineRule="auto"/>
            </w:pPr>
            <w:r/>
            <w:r>
              <w:rPr>
                <w:rFonts w:ascii="Calibri" w:hAnsi="Calibri"/>
                <w:b w:val="0"/>
                <w:color w:val="1F2937"/>
                <w:sz w:val="17"/>
              </w:rPr>
              <w:t>20.000%</w:t>
            </w:r>
          </w:p>
        </w:tc>
      </w:tr>
      <w:tr>
        <w:tc>
          <w:tcPr>
            <w:tcW w:type="dxa" w:w="280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Forecast-based precharge</w:t>
            </w:r>
          </w:p>
        </w:tc>
        <w:tc>
          <w:tcPr>
            <w:tcW w:type="dxa" w:w="1655"/>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10 / 14</w:t>
            </w:r>
          </w:p>
        </w:tc>
        <w:tc>
          <w:tcPr>
            <w:tcW w:type="dxa" w:w="1512"/>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138.86 kW</w:t>
            </w:r>
          </w:p>
        </w:tc>
        <w:tc>
          <w:tcPr>
            <w:tcW w:type="dxa" w:w="1655"/>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133.24 kWh</w:t>
            </w:r>
          </w:p>
        </w:tc>
        <w:tc>
          <w:tcPr>
            <w:tcW w:type="dxa" w:w="1655"/>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20.000%</w:t>
            </w:r>
          </w:p>
        </w:tc>
      </w:tr>
      <w:tr>
        <w:tc>
          <w:tcPr>
            <w:tcW w:type="dxa" w:w="2808"/>
            <w:vAlign w:val="center"/>
            <w:tcMar>
              <w:top w:w="80" w:type="dxa"/>
              <w:start w:w="100" w:type="dxa"/>
              <w:bottom w:w="80" w:type="dxa"/>
              <w:end w:w="100" w:type="dxa"/>
            </w:tcMar>
          </w:tcPr>
          <w:p>
            <w:pPr>
              <w:spacing w:before="0" w:after="0" w:line="240" w:lineRule="auto"/>
            </w:pPr>
            <w:r/>
            <w:r>
              <w:rPr>
                <w:rFonts w:ascii="Calibri" w:hAnsi="Calibri"/>
                <w:b w:val="0"/>
                <w:color w:val="1F2937"/>
                <w:sz w:val="17"/>
              </w:rPr>
              <w:t>State-aware + forecast</w:t>
            </w:r>
          </w:p>
        </w:tc>
        <w:tc>
          <w:tcPr>
            <w:tcW w:type="dxa" w:w="1655"/>
            <w:vAlign w:val="center"/>
            <w:tcMar>
              <w:top w:w="80" w:type="dxa"/>
              <w:start w:w="100" w:type="dxa"/>
              <w:bottom w:w="80" w:type="dxa"/>
              <w:end w:w="100" w:type="dxa"/>
            </w:tcMar>
          </w:tcPr>
          <w:p>
            <w:pPr>
              <w:spacing w:before="0" w:after="0" w:line="240" w:lineRule="auto"/>
            </w:pPr>
            <w:r/>
            <w:r>
              <w:rPr>
                <w:rFonts w:ascii="Calibri" w:hAnsi="Calibri"/>
                <w:b w:val="0"/>
                <w:color w:val="1F2937"/>
                <w:sz w:val="17"/>
              </w:rPr>
              <w:t>14 / 14</w:t>
            </w:r>
          </w:p>
        </w:tc>
        <w:tc>
          <w:tcPr>
            <w:tcW w:type="dxa" w:w="1512"/>
            <w:vAlign w:val="center"/>
            <w:tcMar>
              <w:top w:w="80" w:type="dxa"/>
              <w:start w:w="100" w:type="dxa"/>
              <w:bottom w:w="80" w:type="dxa"/>
              <w:end w:w="100" w:type="dxa"/>
            </w:tcMar>
          </w:tcPr>
          <w:p>
            <w:pPr>
              <w:spacing w:before="0" w:after="0" w:line="240" w:lineRule="auto"/>
            </w:pPr>
            <w:r/>
            <w:r>
              <w:rPr>
                <w:rFonts w:ascii="Calibri" w:hAnsi="Calibri"/>
                <w:b w:val="0"/>
                <w:color w:val="1F2937"/>
                <w:sz w:val="17"/>
              </w:rPr>
              <w:t>100.00 kW</w:t>
            </w:r>
          </w:p>
        </w:tc>
        <w:tc>
          <w:tcPr>
            <w:tcW w:type="dxa" w:w="1655"/>
            <w:vAlign w:val="center"/>
            <w:tcMar>
              <w:top w:w="80" w:type="dxa"/>
              <w:start w:w="100" w:type="dxa"/>
              <w:bottom w:w="80" w:type="dxa"/>
              <w:end w:w="100" w:type="dxa"/>
            </w:tcMar>
          </w:tcPr>
          <w:p>
            <w:pPr>
              <w:spacing w:before="0" w:after="0" w:line="240" w:lineRule="auto"/>
            </w:pPr>
            <w:r/>
            <w:r>
              <w:rPr>
                <w:rFonts w:ascii="Calibri" w:hAnsi="Calibri"/>
                <w:b w:val="0"/>
                <w:color w:val="1F2937"/>
                <w:sz w:val="17"/>
              </w:rPr>
              <w:t>0 kWh</w:t>
            </w:r>
          </w:p>
        </w:tc>
        <w:tc>
          <w:tcPr>
            <w:tcW w:type="dxa" w:w="1655"/>
            <w:vAlign w:val="center"/>
            <w:tcMar>
              <w:top w:w="80" w:type="dxa"/>
              <w:start w:w="100" w:type="dxa"/>
              <w:bottom w:w="80" w:type="dxa"/>
              <w:end w:w="100" w:type="dxa"/>
            </w:tcMar>
          </w:tcPr>
          <w:p>
            <w:pPr>
              <w:spacing w:before="0" w:after="0" w:line="240" w:lineRule="auto"/>
            </w:pPr>
            <w:r/>
            <w:r>
              <w:rPr>
                <w:rFonts w:ascii="Calibri" w:hAnsi="Calibri"/>
                <w:b w:val="0"/>
                <w:color w:val="1F2937"/>
                <w:sz w:val="17"/>
              </w:rPr>
              <w:t>26.101%</w:t>
            </w:r>
          </w:p>
        </w:tc>
      </w:tr>
    </w:tbl>
    <w:p>
      <w:pPr>
        <w:spacing w:after="0"/>
      </w:pPr>
    </w:p>
    <w:tbl>
      <w:tblPr>
        <w:tblStyle w:val="TableGrid"/>
        <w:tblW w:type="dxa" w:w="9288"/>
        <w:jc w:val="center"/>
        <w:tblLayout w:type="fixed"/>
        <w:tblLook w:firstColumn="1" w:firstRow="1" w:lastColumn="0" w:lastRow="0" w:noHBand="0" w:noVBand="1" w:val="04A0"/>
        <w:tblInd w:w="0" w:type="dxa"/>
      </w:tblPr>
      <w:tblGrid>
        <w:gridCol w:w="9288"/>
      </w:tblGrid>
      <w:tr>
        <w:trPr>
          <w:cantSplit/>
        </w:trPr>
        <w:tc>
          <w:tcPr>
            <w:tcW w:type="dxa" w:w="9288"/>
            <w:shd w:fill="EEF4F9"/>
            <w:tcMar>
              <w:top w:w="130" w:type="dxa"/>
              <w:start w:w="150" w:type="dxa"/>
              <w:bottom w:w="130" w:type="dxa"/>
              <w:end w:w="150" w:type="dxa"/>
            </w:tcMar>
          </w:tcPr>
          <w:p>
            <w:pPr>
              <w:spacing w:after="40"/>
            </w:pPr>
            <w:r>
              <w:rPr>
                <w:rFonts w:ascii="Calibri" w:hAnsi="Calibri"/>
                <w:b/>
                <w:color w:val="1F4E79"/>
                <w:sz w:val="18"/>
              </w:rPr>
              <w:t>CONTINUITY CHECKS</w:t>
            </w:r>
          </w:p>
          <w:p>
            <w:pPr>
              <w:spacing w:after="0" w:line="245" w:lineRule="auto"/>
            </w:pPr>
            <w:r>
              <w:rPr>
                <w:rFonts w:ascii="Calibri" w:hAnsi="Calibri"/>
                <w:color w:val="1F2937"/>
                <w:sz w:val="20"/>
              </w:rPr>
              <w:t>The final state-aware strategy finished both weeks at 55.867% SOC, with zero inter-day handover error and zero maximum power-balance error.</w:t>
            </w:r>
          </w:p>
        </w:tc>
      </w:tr>
    </w:tbl>
    <w:p>
      <w:pPr>
        <w:spacing w:after="0"/>
      </w:pPr>
    </w:p>
    <w:p>
      <w:r>
        <w:br w:type="page"/>
      </w:r>
    </w:p>
    <w:p>
      <w:pPr>
        <w:pStyle w:val="Heading1"/>
      </w:pPr>
      <w:r>
        <w:t>8. Engineering Validation and Expected Failure Behaviour</w:t>
      </w:r>
    </w:p>
    <w:p>
      <w:r>
        <w:t>A validation test passes when the simulated outcome matches the expected physical behavior. Fault cases are therefore allowed to exceed the grid limit when the defined BESS constraints make compliance impossible; the controller must fail predictably without violating SOC, power-rating or balance constraints.</w:t>
      </w:r>
    </w:p>
    <w:p>
      <w:pPr>
        <w:keepNext/>
        <w:spacing w:before="40" w:after="0"/>
        <w:jc w:val="center"/>
      </w:pPr>
      <w:r>
        <w:drawing>
          <wp:inline xmlns:a="http://schemas.openxmlformats.org/drawingml/2006/main" xmlns:pic="http://schemas.openxmlformats.org/drawingml/2006/picture">
            <wp:extent cx="5715000" cy="3581137"/>
            <wp:docPr id="5" name="Picture 5" descr="Figure 5. Validation suite covering nominal operation and four abnormal conditions." title="Validation suite covering nominal operation and four abnormal conditions."/>
            <wp:cNvGraphicFramePr>
              <a:graphicFrameLocks noChangeAspect="1"/>
            </wp:cNvGraphicFramePr>
            <a:graphic>
              <a:graphicData uri="http://schemas.openxmlformats.org/drawingml/2006/picture">
                <pic:pic>
                  <pic:nvPicPr>
                    <pic:cNvPr id="0" name="model_validation_results.png"/>
                    <pic:cNvPicPr/>
                  </pic:nvPicPr>
                  <pic:blipFill>
                    <a:blip r:embed="rId15"/>
                    <a:stretch>
                      <a:fillRect/>
                    </a:stretch>
                  </pic:blipFill>
                  <pic:spPr>
                    <a:xfrm>
                      <a:off x="0" y="0"/>
                      <a:ext cx="5715000" cy="3581137"/>
                    </a:xfrm>
                    <a:prstGeom prst="rect"/>
                  </pic:spPr>
                </pic:pic>
              </a:graphicData>
            </a:graphic>
          </wp:inline>
        </w:drawing>
      </w:r>
    </w:p>
    <w:p>
      <w:pPr>
        <w:pStyle w:val="Caption"/>
        <w:keepLines/>
        <w:spacing w:before="40" w:after="140"/>
        <w:jc w:val="center"/>
      </w:pPr>
      <w:r>
        <w:rPr>
          <w:rFonts w:ascii="Calibri" w:hAnsi="Calibri"/>
          <w:color w:val="667085"/>
          <w:sz w:val="17"/>
        </w:rPr>
        <w:t>Figure 5. Validation suite covering nominal operation and four abnormal conditions.</w:t>
      </w:r>
    </w:p>
    <w:tbl>
      <w:tblPr>
        <w:tblStyle w:val="TableGrid"/>
        <w:tblW w:type="dxa" w:w="9288"/>
        <w:jc w:val="center"/>
        <w:tblLayout w:type="fixed"/>
        <w:tblLook w:firstColumn="1" w:firstRow="1" w:lastColumn="0" w:lastRow="0" w:noHBand="0" w:noVBand="1" w:val="04A0"/>
        <w:tblInd w:w="0" w:type="dxa"/>
      </w:tblPr>
      <w:tblGrid>
        <w:gridCol w:w="2232"/>
        <w:gridCol w:w="3096"/>
        <w:gridCol w:w="1584"/>
        <w:gridCol w:w="1368"/>
        <w:gridCol w:w="1007"/>
      </w:tblGrid>
      <w:tr>
        <w:trPr>
          <w:cantSplit/>
          <w:tblHeader w:val="true"/>
        </w:trPr>
        <w:tc>
          <w:tcPr>
            <w:tcW w:type="dxa" w:w="2232"/>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Test</w:t>
            </w:r>
          </w:p>
        </w:tc>
        <w:tc>
          <w:tcPr>
            <w:tcW w:type="dxa" w:w="3096"/>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Expected behavior</w:t>
            </w:r>
          </w:p>
        </w:tc>
        <w:tc>
          <w:tcPr>
            <w:tcW w:type="dxa" w:w="1584"/>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Actual</w:t>
            </w:r>
          </w:p>
        </w:tc>
        <w:tc>
          <w:tcPr>
            <w:tcW w:type="dxa" w:w="1368"/>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Peak grid</w:t>
            </w:r>
          </w:p>
        </w:tc>
        <w:tc>
          <w:tcPr>
            <w:tcW w:type="dxa" w:w="1008"/>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Verdict</w:t>
            </w:r>
          </w:p>
        </w:tc>
      </w:tr>
      <w:tr>
        <w:tc>
          <w:tcPr>
            <w:tcW w:type="dxa" w:w="2232"/>
            <w:vAlign w:val="center"/>
            <w:tcMar>
              <w:top w:w="80" w:type="dxa"/>
              <w:start w:w="100" w:type="dxa"/>
              <w:bottom w:w="80" w:type="dxa"/>
              <w:end w:w="100" w:type="dxa"/>
            </w:tcMar>
          </w:tcPr>
          <w:p>
            <w:pPr>
              <w:spacing w:before="0" w:after="0" w:line="240" w:lineRule="auto"/>
            </w:pPr>
            <w:r/>
            <w:r>
              <w:rPr>
                <w:rFonts w:ascii="Calibri" w:hAnsi="Calibri"/>
                <w:b w:val="0"/>
                <w:color w:val="1F2937"/>
                <w:sz w:val="16"/>
              </w:rPr>
              <w:t>Nominal operation</w:t>
            </w:r>
          </w:p>
        </w:tc>
        <w:tc>
          <w:tcPr>
            <w:tcW w:type="dxa" w:w="3096"/>
            <w:vAlign w:val="center"/>
            <w:tcMar>
              <w:top w:w="80" w:type="dxa"/>
              <w:start w:w="100" w:type="dxa"/>
              <w:bottom w:w="80" w:type="dxa"/>
              <w:end w:w="100" w:type="dxa"/>
            </w:tcMar>
          </w:tcPr>
          <w:p>
            <w:pPr>
              <w:spacing w:before="0" w:after="0" w:line="240" w:lineRule="auto"/>
            </w:pPr>
            <w:r/>
            <w:r>
              <w:rPr>
                <w:rFonts w:ascii="Calibri" w:hAnsi="Calibri"/>
                <w:b w:val="0"/>
                <w:color w:val="1F2937"/>
                <w:sz w:val="16"/>
              </w:rPr>
              <w:t>Compliant</w:t>
            </w:r>
          </w:p>
        </w:tc>
        <w:tc>
          <w:tcPr>
            <w:tcW w:type="dxa" w:w="1584"/>
            <w:vAlign w:val="center"/>
            <w:tcMar>
              <w:top w:w="80" w:type="dxa"/>
              <w:start w:w="100" w:type="dxa"/>
              <w:bottom w:w="80" w:type="dxa"/>
              <w:end w:w="100" w:type="dxa"/>
            </w:tcMar>
          </w:tcPr>
          <w:p>
            <w:pPr>
              <w:spacing w:before="0" w:after="0" w:line="240" w:lineRule="auto"/>
            </w:pPr>
            <w:r/>
            <w:r>
              <w:rPr>
                <w:rFonts w:ascii="Calibri" w:hAnsi="Calibri"/>
                <w:b w:val="0"/>
                <w:color w:val="1F2937"/>
                <w:sz w:val="16"/>
              </w:rPr>
              <w:t>Compliant</w:t>
            </w:r>
          </w:p>
        </w:tc>
        <w:tc>
          <w:tcPr>
            <w:tcW w:type="dxa" w:w="1368"/>
            <w:vAlign w:val="center"/>
            <w:tcMar>
              <w:top w:w="80" w:type="dxa"/>
              <w:start w:w="100" w:type="dxa"/>
              <w:bottom w:w="80" w:type="dxa"/>
              <w:end w:w="100" w:type="dxa"/>
            </w:tcMar>
          </w:tcPr>
          <w:p>
            <w:pPr>
              <w:spacing w:before="0" w:after="0" w:line="240" w:lineRule="auto"/>
            </w:pPr>
            <w:r/>
            <w:r>
              <w:rPr>
                <w:rFonts w:ascii="Calibri" w:hAnsi="Calibri"/>
                <w:b w:val="0"/>
                <w:color w:val="1F2937"/>
                <w:sz w:val="16"/>
              </w:rPr>
              <w:t>100.00 kW</w:t>
            </w:r>
          </w:p>
        </w:tc>
        <w:tc>
          <w:tcPr>
            <w:tcW w:type="dxa" w:w="1007"/>
            <w:vAlign w:val="center"/>
            <w:tcMar>
              <w:top w:w="80" w:type="dxa"/>
              <w:start w:w="100" w:type="dxa"/>
              <w:bottom w:w="80" w:type="dxa"/>
              <w:end w:w="100" w:type="dxa"/>
            </w:tcMar>
          </w:tcPr>
          <w:p>
            <w:pPr>
              <w:spacing w:before="0" w:after="0" w:line="240" w:lineRule="auto"/>
            </w:pPr>
            <w:r/>
            <w:r>
              <w:rPr>
                <w:rFonts w:ascii="Calibri" w:hAnsi="Calibri"/>
                <w:b w:val="0"/>
                <w:color w:val="1F2937"/>
                <w:sz w:val="16"/>
              </w:rPr>
              <w:t>PASS</w:t>
            </w:r>
          </w:p>
        </w:tc>
      </w:tr>
      <w:tr>
        <w:tc>
          <w:tcPr>
            <w:tcW w:type="dxa" w:w="2232"/>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Complete PV outage</w:t>
            </w:r>
          </w:p>
        </w:tc>
        <w:tc>
          <w:tcPr>
            <w:tcW w:type="dxa" w:w="3096"/>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Compliant</w:t>
            </w:r>
          </w:p>
        </w:tc>
        <w:tc>
          <w:tcPr>
            <w:tcW w:type="dxa" w:w="158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Compliant</w:t>
            </w:r>
          </w:p>
        </w:tc>
        <w:tc>
          <w:tcPr>
            <w:tcW w:type="dxa" w:w="136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100.00 kW</w:t>
            </w:r>
          </w:p>
        </w:tc>
        <w:tc>
          <w:tcPr>
            <w:tcW w:type="dxa" w:w="1007"/>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PASS</w:t>
            </w:r>
          </w:p>
        </w:tc>
      </w:tr>
      <w:tr>
        <w:tc>
          <w:tcPr>
            <w:tcW w:type="dxa" w:w="2232"/>
            <w:vAlign w:val="center"/>
            <w:tcMar>
              <w:top w:w="80" w:type="dxa"/>
              <w:start w:w="100" w:type="dxa"/>
              <w:bottom w:w="80" w:type="dxa"/>
              <w:end w:w="100" w:type="dxa"/>
            </w:tcMar>
          </w:tcPr>
          <w:p>
            <w:pPr>
              <w:spacing w:before="0" w:after="0" w:line="240" w:lineRule="auto"/>
            </w:pPr>
            <w:r/>
            <w:r>
              <w:rPr>
                <w:rFonts w:ascii="Calibri" w:hAnsi="Calibri"/>
                <w:b w:val="0"/>
                <w:color w:val="1F2937"/>
                <w:sz w:val="16"/>
              </w:rPr>
              <w:t>Load surge</w:t>
            </w:r>
          </w:p>
        </w:tc>
        <w:tc>
          <w:tcPr>
            <w:tcW w:type="dxa" w:w="3096"/>
            <w:vAlign w:val="center"/>
            <w:tcMar>
              <w:top w:w="80" w:type="dxa"/>
              <w:start w:w="100" w:type="dxa"/>
              <w:bottom w:w="80" w:type="dxa"/>
              <w:end w:w="100" w:type="dxa"/>
            </w:tcMar>
          </w:tcPr>
          <w:p>
            <w:pPr>
              <w:spacing w:before="0" w:after="0" w:line="240" w:lineRule="auto"/>
            </w:pPr>
            <w:r/>
            <w:r>
              <w:rPr>
                <w:rFonts w:ascii="Calibri" w:hAnsi="Calibri"/>
                <w:b w:val="0"/>
                <w:color w:val="1F2937"/>
                <w:sz w:val="16"/>
              </w:rPr>
              <w:t>Power-limited failure</w:t>
            </w:r>
          </w:p>
        </w:tc>
        <w:tc>
          <w:tcPr>
            <w:tcW w:type="dxa" w:w="1584"/>
            <w:vAlign w:val="center"/>
            <w:tcMar>
              <w:top w:w="80" w:type="dxa"/>
              <w:start w:w="100" w:type="dxa"/>
              <w:bottom w:w="80" w:type="dxa"/>
              <w:end w:w="100" w:type="dxa"/>
            </w:tcMar>
          </w:tcPr>
          <w:p>
            <w:pPr>
              <w:spacing w:before="0" w:after="0" w:line="240" w:lineRule="auto"/>
            </w:pPr>
            <w:r/>
            <w:r>
              <w:rPr>
                <w:rFonts w:ascii="Calibri" w:hAnsi="Calibri"/>
                <w:b w:val="0"/>
                <w:color w:val="1F2937"/>
                <w:sz w:val="16"/>
              </w:rPr>
              <w:t>Non-compliant</w:t>
            </w:r>
          </w:p>
        </w:tc>
        <w:tc>
          <w:tcPr>
            <w:tcW w:type="dxa" w:w="1368"/>
            <w:vAlign w:val="center"/>
            <w:tcMar>
              <w:top w:w="80" w:type="dxa"/>
              <w:start w:w="100" w:type="dxa"/>
              <w:bottom w:w="80" w:type="dxa"/>
              <w:end w:w="100" w:type="dxa"/>
            </w:tcMar>
          </w:tcPr>
          <w:p>
            <w:pPr>
              <w:spacing w:before="0" w:after="0" w:line="240" w:lineRule="auto"/>
            </w:pPr>
            <w:r/>
            <w:r>
              <w:rPr>
                <w:rFonts w:ascii="Calibri" w:hAnsi="Calibri"/>
                <w:b w:val="0"/>
                <w:color w:val="1F2937"/>
                <w:sz w:val="16"/>
              </w:rPr>
              <w:t>152.92 kW</w:t>
            </w:r>
          </w:p>
        </w:tc>
        <w:tc>
          <w:tcPr>
            <w:tcW w:type="dxa" w:w="1007"/>
            <w:vAlign w:val="center"/>
            <w:tcMar>
              <w:top w:w="80" w:type="dxa"/>
              <w:start w:w="100" w:type="dxa"/>
              <w:bottom w:w="80" w:type="dxa"/>
              <w:end w:w="100" w:type="dxa"/>
            </w:tcMar>
          </w:tcPr>
          <w:p>
            <w:pPr>
              <w:spacing w:before="0" w:after="0" w:line="240" w:lineRule="auto"/>
            </w:pPr>
            <w:r/>
            <w:r>
              <w:rPr>
                <w:rFonts w:ascii="Calibri" w:hAnsi="Calibri"/>
                <w:b w:val="0"/>
                <w:color w:val="1F2937"/>
                <w:sz w:val="16"/>
              </w:rPr>
              <w:t>PASS</w:t>
            </w:r>
          </w:p>
        </w:tc>
      </w:tr>
      <w:tr>
        <w:tc>
          <w:tcPr>
            <w:tcW w:type="dxa" w:w="2232"/>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Undersized battery</w:t>
            </w:r>
          </w:p>
        </w:tc>
        <w:tc>
          <w:tcPr>
            <w:tcW w:type="dxa" w:w="3096"/>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Energy-limited failure</w:t>
            </w:r>
          </w:p>
        </w:tc>
        <w:tc>
          <w:tcPr>
            <w:tcW w:type="dxa" w:w="158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Non-compliant</w:t>
            </w:r>
          </w:p>
        </w:tc>
        <w:tc>
          <w:tcPr>
            <w:tcW w:type="dxa" w:w="136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161.00 kW</w:t>
            </w:r>
          </w:p>
        </w:tc>
        <w:tc>
          <w:tcPr>
            <w:tcW w:type="dxa" w:w="1007"/>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PASS</w:t>
            </w:r>
          </w:p>
        </w:tc>
      </w:tr>
      <w:tr>
        <w:tc>
          <w:tcPr>
            <w:tcW w:type="dxa" w:w="2232"/>
            <w:vAlign w:val="center"/>
            <w:tcMar>
              <w:top w:w="80" w:type="dxa"/>
              <w:start w:w="100" w:type="dxa"/>
              <w:bottom w:w="80" w:type="dxa"/>
              <w:end w:w="100" w:type="dxa"/>
            </w:tcMar>
          </w:tcPr>
          <w:p>
            <w:pPr>
              <w:spacing w:before="0" w:after="0" w:line="240" w:lineRule="auto"/>
            </w:pPr>
            <w:r/>
            <w:r>
              <w:rPr>
                <w:rFonts w:ascii="Calibri" w:hAnsi="Calibri"/>
                <w:b w:val="0"/>
                <w:color w:val="1F2937"/>
                <w:sz w:val="16"/>
              </w:rPr>
              <w:t>BESS unavailable</w:t>
            </w:r>
          </w:p>
        </w:tc>
        <w:tc>
          <w:tcPr>
            <w:tcW w:type="dxa" w:w="3096"/>
            <w:vAlign w:val="center"/>
            <w:tcMar>
              <w:top w:w="80" w:type="dxa"/>
              <w:start w:w="100" w:type="dxa"/>
              <w:bottom w:w="80" w:type="dxa"/>
              <w:end w:w="100" w:type="dxa"/>
            </w:tcMar>
          </w:tcPr>
          <w:p>
            <w:pPr>
              <w:spacing w:before="0" w:after="0" w:line="240" w:lineRule="auto"/>
            </w:pPr>
            <w:r/>
            <w:r>
              <w:rPr>
                <w:rFonts w:ascii="Calibri" w:hAnsi="Calibri"/>
                <w:b w:val="0"/>
                <w:color w:val="1F2937"/>
                <w:sz w:val="16"/>
              </w:rPr>
              <w:t>Grid follows net load</w:t>
            </w:r>
          </w:p>
        </w:tc>
        <w:tc>
          <w:tcPr>
            <w:tcW w:type="dxa" w:w="1584"/>
            <w:vAlign w:val="center"/>
            <w:tcMar>
              <w:top w:w="80" w:type="dxa"/>
              <w:start w:w="100" w:type="dxa"/>
              <w:bottom w:w="80" w:type="dxa"/>
              <w:end w:w="100" w:type="dxa"/>
            </w:tcMar>
          </w:tcPr>
          <w:p>
            <w:pPr>
              <w:spacing w:before="0" w:after="0" w:line="240" w:lineRule="auto"/>
            </w:pPr>
            <w:r/>
            <w:r>
              <w:rPr>
                <w:rFonts w:ascii="Calibri" w:hAnsi="Calibri"/>
                <w:b w:val="0"/>
                <w:color w:val="1F2937"/>
                <w:sz w:val="16"/>
              </w:rPr>
              <w:t>Non-compliant</w:t>
            </w:r>
          </w:p>
        </w:tc>
        <w:tc>
          <w:tcPr>
            <w:tcW w:type="dxa" w:w="1368"/>
            <w:vAlign w:val="center"/>
            <w:tcMar>
              <w:top w:w="80" w:type="dxa"/>
              <w:start w:w="100" w:type="dxa"/>
              <w:bottom w:w="80" w:type="dxa"/>
              <w:end w:w="100" w:type="dxa"/>
            </w:tcMar>
          </w:tcPr>
          <w:p>
            <w:pPr>
              <w:spacing w:before="0" w:after="0" w:line="240" w:lineRule="auto"/>
            </w:pPr>
            <w:r/>
            <w:r>
              <w:rPr>
                <w:rFonts w:ascii="Calibri" w:hAnsi="Calibri"/>
                <w:b w:val="0"/>
                <w:color w:val="1F2937"/>
                <w:sz w:val="16"/>
              </w:rPr>
              <w:t>140.00 kW</w:t>
            </w:r>
          </w:p>
        </w:tc>
        <w:tc>
          <w:tcPr>
            <w:tcW w:type="dxa" w:w="1007"/>
            <w:vAlign w:val="center"/>
            <w:tcMar>
              <w:top w:w="80" w:type="dxa"/>
              <w:start w:w="100" w:type="dxa"/>
              <w:bottom w:w="80" w:type="dxa"/>
              <w:end w:w="100" w:type="dxa"/>
            </w:tcMar>
          </w:tcPr>
          <w:p>
            <w:pPr>
              <w:spacing w:before="0" w:after="0" w:line="240" w:lineRule="auto"/>
            </w:pPr>
            <w:r/>
            <w:r>
              <w:rPr>
                <w:rFonts w:ascii="Calibri" w:hAnsi="Calibri"/>
                <w:b w:val="0"/>
                <w:color w:val="1F2937"/>
                <w:sz w:val="16"/>
              </w:rPr>
              <w:t>PASS</w:t>
            </w:r>
          </w:p>
        </w:tc>
      </w:tr>
    </w:tbl>
    <w:p>
      <w:pPr>
        <w:spacing w:after="0"/>
      </w:pPr>
    </w:p>
    <w:tbl>
      <w:tblPr>
        <w:tblStyle w:val="TableGrid"/>
        <w:tblW w:type="dxa" w:w="9288"/>
        <w:jc w:val="center"/>
        <w:tblLayout w:type="fixed"/>
        <w:tblLook w:firstColumn="1" w:firstRow="1" w:lastColumn="0" w:lastRow="0" w:noHBand="0" w:noVBand="1" w:val="04A0"/>
        <w:tblInd w:w="0" w:type="dxa"/>
      </w:tblPr>
      <w:tblGrid>
        <w:gridCol w:w="9288"/>
      </w:tblGrid>
      <w:tr>
        <w:trPr>
          <w:cantSplit/>
        </w:trPr>
        <w:tc>
          <w:tcPr>
            <w:tcW w:type="dxa" w:w="9288"/>
            <w:shd w:fill="E8F4EA"/>
            <w:tcMar>
              <w:top w:w="130" w:type="dxa"/>
              <w:start w:w="150" w:type="dxa"/>
              <w:bottom w:w="130" w:type="dxa"/>
              <w:end w:w="150" w:type="dxa"/>
            </w:tcMar>
          </w:tcPr>
          <w:p>
            <w:pPr>
              <w:spacing w:after="40"/>
            </w:pPr>
            <w:r>
              <w:rPr>
                <w:rFonts w:ascii="Calibri" w:hAnsi="Calibri"/>
                <w:b/>
                <w:color w:val="2E7D32"/>
                <w:sz w:val="18"/>
              </w:rPr>
              <w:t>VALIDATION VERDICT</w:t>
            </w:r>
          </w:p>
          <w:p>
            <w:pPr>
              <w:spacing w:after="0" w:line="245" w:lineRule="auto"/>
            </w:pPr>
            <w:r>
              <w:rPr>
                <w:rFonts w:ascii="Calibri" w:hAnsi="Calibri"/>
                <w:color w:val="1F2937"/>
                <w:sz w:val="20"/>
              </w:rPr>
              <w:t>5/5 scenario outcomes matched expectation; 5/5 SOC checks, 5/5 power-rating checks and 5/5 power-balance checks passed.</w:t>
            </w:r>
          </w:p>
        </w:tc>
      </w:tr>
    </w:tbl>
    <w:p>
      <w:pPr>
        <w:spacing w:after="0"/>
      </w:pPr>
    </w:p>
    <w:p>
      <w:r>
        <w:br w:type="page"/>
      </w:r>
    </w:p>
    <w:p>
      <w:pPr>
        <w:pStyle w:val="Heading1"/>
      </w:pPr>
      <w:r>
        <w:t>9. Price-aware Charging Sensitivity</w:t>
      </w:r>
    </w:p>
    <w:p>
      <w:r>
        <w:t>The final extension tested whether charging could be shifted toward low-price intervals without sacrificing readiness. The daily P25 price gate was supplemented by a 13:00–17:00 deadline recovery rule so that economic timing did not create a lower terminal energy state.</w:t>
      </w:r>
    </w:p>
    <w:p>
      <w:pPr>
        <w:keepNext/>
        <w:spacing w:before="40" w:after="0"/>
        <w:jc w:val="center"/>
      </w:pPr>
      <w:r>
        <w:drawing>
          <wp:inline xmlns:a="http://schemas.openxmlformats.org/drawingml/2006/main" xmlns:pic="http://schemas.openxmlformats.org/drawingml/2006/picture">
            <wp:extent cx="5715000" cy="3517201"/>
            <wp:docPr id="6" name="Picture 6" descr="Figure 6. Controlled Shandong day-ahead price sensitivity with deadline SOC recovery." title="Controlled Shandong day-ahead price sensitivity with deadline SOC recovery."/>
            <wp:cNvGraphicFramePr>
              <a:graphicFrameLocks noChangeAspect="1"/>
            </wp:cNvGraphicFramePr>
            <a:graphic>
              <a:graphicData uri="http://schemas.openxmlformats.org/drawingml/2006/picture">
                <pic:pic>
                  <pic:nvPicPr>
                    <pic:cNvPr id="0" name="price_aware_91day_sensitivity.png"/>
                    <pic:cNvPicPr/>
                  </pic:nvPicPr>
                  <pic:blipFill>
                    <a:blip r:embed="rId16"/>
                    <a:stretch>
                      <a:fillRect/>
                    </a:stretch>
                  </pic:blipFill>
                  <pic:spPr>
                    <a:xfrm>
                      <a:off x="0" y="0"/>
                      <a:ext cx="5715000" cy="3517201"/>
                    </a:xfrm>
                    <a:prstGeom prst="rect"/>
                  </pic:spPr>
                </pic:pic>
              </a:graphicData>
            </a:graphic>
          </wp:inline>
        </w:drawing>
      </w:r>
    </w:p>
    <w:p>
      <w:pPr>
        <w:pStyle w:val="Caption"/>
        <w:keepLines/>
        <w:spacing w:before="40" w:after="140"/>
        <w:jc w:val="center"/>
      </w:pPr>
      <w:r>
        <w:rPr>
          <w:rFonts w:ascii="Calibri" w:hAnsi="Calibri"/>
          <w:color w:val="667085"/>
          <w:sz w:val="17"/>
        </w:rPr>
        <w:t>Figure 6. Controlled Shandong day-ahead price sensitivity with deadline SOC recovery.</w:t>
      </w:r>
    </w:p>
    <w:tbl>
      <w:tblPr>
        <w:tblStyle w:val="TableGrid"/>
        <w:tblW w:type="dxa" w:w="9288"/>
        <w:jc w:val="center"/>
        <w:tblLayout w:type="fixed"/>
        <w:tblLook w:firstColumn="1" w:firstRow="1" w:lastColumn="0" w:lastRow="0" w:noHBand="0" w:noVBand="1" w:val="04A0"/>
        <w:tblInd w:w="0" w:type="dxa"/>
      </w:tblPr>
      <w:tblGrid>
        <w:gridCol w:w="2088"/>
        <w:gridCol w:w="1152"/>
        <w:gridCol w:w="1224"/>
        <w:gridCol w:w="1584"/>
        <w:gridCol w:w="1655"/>
        <w:gridCol w:w="1584"/>
      </w:tblGrid>
      <w:tr>
        <w:trPr>
          <w:cantSplit/>
          <w:tblHeader w:val="true"/>
        </w:trPr>
        <w:tc>
          <w:tcPr>
            <w:tcW w:type="dxa" w:w="2088"/>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Scope</w:t>
            </w:r>
          </w:p>
        </w:tc>
        <w:tc>
          <w:tcPr>
            <w:tcW w:type="dxa" w:w="1152"/>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Price days</w:t>
            </w:r>
          </w:p>
        </w:tc>
        <w:tc>
          <w:tcPr>
            <w:tcW w:type="dxa" w:w="1224"/>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Comparable</w:t>
            </w:r>
          </w:p>
        </w:tc>
        <w:tc>
          <w:tcPr>
            <w:tcW w:type="dxa" w:w="1584"/>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Cost reduction</w:t>
            </w:r>
          </w:p>
        </w:tc>
        <w:tc>
          <w:tcPr>
            <w:tcW w:type="dxa" w:w="1656"/>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Mean saving</w:t>
            </w:r>
          </w:p>
        </w:tc>
        <w:tc>
          <w:tcPr>
            <w:tcW w:type="dxa" w:w="1584"/>
            <w:shd w:fill="1F4E79"/>
            <w:vAlign w:val="center"/>
            <w:tcMar>
              <w:top w:w="80" w:type="dxa"/>
              <w:start w:w="100" w:type="dxa"/>
              <w:bottom w:w="80" w:type="dxa"/>
              <w:end w:w="100" w:type="dxa"/>
            </w:tcMar>
          </w:tcPr>
          <w:p>
            <w:pPr>
              <w:spacing w:before="0" w:after="0" w:line="240" w:lineRule="auto"/>
            </w:pPr>
            <w:r/>
            <w:r>
              <w:rPr>
                <w:rFonts w:ascii="Calibri" w:hAnsi="Calibri"/>
                <w:b/>
                <w:color w:val="FFFFFF"/>
                <w:sz w:val="16"/>
              </w:rPr>
              <w:t>Median saving</w:t>
            </w:r>
          </w:p>
        </w:tc>
      </w:tr>
      <w:tr>
        <w:tc>
          <w:tcPr>
            <w:tcW w:type="dxa" w:w="2088"/>
            <w:vAlign w:val="center"/>
            <w:tcMar>
              <w:top w:w="80" w:type="dxa"/>
              <w:start w:w="100" w:type="dxa"/>
              <w:bottom w:w="80" w:type="dxa"/>
              <w:end w:w="100" w:type="dxa"/>
            </w:tcMar>
          </w:tcPr>
          <w:p>
            <w:pPr>
              <w:spacing w:before="0" w:after="0" w:line="240" w:lineRule="auto"/>
            </w:pPr>
            <w:r/>
            <w:r>
              <w:rPr>
                <w:rFonts w:ascii="Calibri" w:hAnsi="Calibri"/>
                <w:b w:val="0"/>
                <w:color w:val="1F2937"/>
                <w:sz w:val="16"/>
              </w:rPr>
              <w:t>Observed price days</w:t>
            </w:r>
          </w:p>
        </w:tc>
        <w:tc>
          <w:tcPr>
            <w:tcW w:type="dxa" w:w="1152"/>
            <w:vAlign w:val="center"/>
            <w:tcMar>
              <w:top w:w="80" w:type="dxa"/>
              <w:start w:w="100" w:type="dxa"/>
              <w:bottom w:w="80" w:type="dxa"/>
              <w:end w:w="100" w:type="dxa"/>
            </w:tcMar>
          </w:tcPr>
          <w:p>
            <w:pPr>
              <w:spacing w:before="0" w:after="0" w:line="240" w:lineRule="auto"/>
            </w:pPr>
            <w:r/>
            <w:r>
              <w:rPr>
                <w:rFonts w:ascii="Calibri" w:hAnsi="Calibri"/>
                <w:b w:val="0"/>
                <w:color w:val="1F2937"/>
                <w:sz w:val="16"/>
              </w:rPr>
              <w:t>90</w:t>
            </w:r>
          </w:p>
        </w:tc>
        <w:tc>
          <w:tcPr>
            <w:tcW w:type="dxa" w:w="1224"/>
            <w:vAlign w:val="center"/>
            <w:tcMar>
              <w:top w:w="80" w:type="dxa"/>
              <w:start w:w="100" w:type="dxa"/>
              <w:bottom w:w="80" w:type="dxa"/>
              <w:end w:w="100" w:type="dxa"/>
            </w:tcMar>
          </w:tcPr>
          <w:p>
            <w:pPr>
              <w:spacing w:before="0" w:after="0" w:line="240" w:lineRule="auto"/>
            </w:pPr>
            <w:r/>
            <w:r>
              <w:rPr>
                <w:rFonts w:ascii="Calibri" w:hAnsi="Calibri"/>
                <w:b w:val="0"/>
                <w:color w:val="1F2937"/>
                <w:sz w:val="16"/>
              </w:rPr>
              <w:t>90</w:t>
            </w:r>
          </w:p>
        </w:tc>
        <w:tc>
          <w:tcPr>
            <w:tcW w:type="dxa" w:w="1584"/>
            <w:vAlign w:val="center"/>
            <w:tcMar>
              <w:top w:w="80" w:type="dxa"/>
              <w:start w:w="100" w:type="dxa"/>
              <w:bottom w:w="80" w:type="dxa"/>
              <w:end w:w="100" w:type="dxa"/>
            </w:tcMar>
          </w:tcPr>
          <w:p>
            <w:pPr>
              <w:spacing w:before="0" w:after="0" w:line="240" w:lineRule="auto"/>
            </w:pPr>
            <w:r/>
            <w:r>
              <w:rPr>
                <w:rFonts w:ascii="Calibri" w:hAnsi="Calibri"/>
                <w:b w:val="0"/>
                <w:color w:val="1F2937"/>
                <w:sz w:val="16"/>
              </w:rPr>
              <w:t>10.805%</w:t>
            </w:r>
          </w:p>
        </w:tc>
        <w:tc>
          <w:tcPr>
            <w:tcW w:type="dxa" w:w="1655"/>
            <w:vAlign w:val="center"/>
            <w:tcMar>
              <w:top w:w="80" w:type="dxa"/>
              <w:start w:w="100" w:type="dxa"/>
              <w:bottom w:w="80" w:type="dxa"/>
              <w:end w:w="100" w:type="dxa"/>
            </w:tcMar>
          </w:tcPr>
          <w:p>
            <w:pPr>
              <w:spacing w:before="0" w:after="0" w:line="240" w:lineRule="auto"/>
            </w:pPr>
            <w:r/>
            <w:r>
              <w:rPr>
                <w:rFonts w:ascii="Calibri" w:hAnsi="Calibri"/>
                <w:b w:val="0"/>
                <w:color w:val="1F2937"/>
                <w:sz w:val="16"/>
              </w:rPr>
              <w:t>56.053 RMB/day</w:t>
            </w:r>
          </w:p>
        </w:tc>
        <w:tc>
          <w:tcPr>
            <w:tcW w:type="dxa" w:w="1584"/>
            <w:vAlign w:val="center"/>
            <w:tcMar>
              <w:top w:w="80" w:type="dxa"/>
              <w:start w:w="100" w:type="dxa"/>
              <w:bottom w:w="80" w:type="dxa"/>
              <w:end w:w="100" w:type="dxa"/>
            </w:tcMar>
          </w:tcPr>
          <w:p>
            <w:pPr>
              <w:spacing w:before="0" w:after="0" w:line="240" w:lineRule="auto"/>
            </w:pPr>
            <w:r/>
            <w:r>
              <w:rPr>
                <w:rFonts w:ascii="Calibri" w:hAnsi="Calibri"/>
                <w:b w:val="0"/>
                <w:color w:val="1F2937"/>
                <w:sz w:val="16"/>
              </w:rPr>
              <w:t>62.754 RMB/day</w:t>
            </w:r>
          </w:p>
        </w:tc>
      </w:tr>
      <w:tr>
        <w:tc>
          <w:tcPr>
            <w:tcW w:type="dxa" w:w="2088"/>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Including imputed day</w:t>
            </w:r>
          </w:p>
        </w:tc>
        <w:tc>
          <w:tcPr>
            <w:tcW w:type="dxa" w:w="1152"/>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91</w:t>
            </w:r>
          </w:p>
        </w:tc>
        <w:tc>
          <w:tcPr>
            <w:tcW w:type="dxa" w:w="122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91</w:t>
            </w:r>
          </w:p>
        </w:tc>
        <w:tc>
          <w:tcPr>
            <w:tcW w:type="dxa" w:w="158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10.797%</w:t>
            </w:r>
          </w:p>
        </w:tc>
        <w:tc>
          <w:tcPr>
            <w:tcW w:type="dxa" w:w="1655"/>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55.940 RMB/day</w:t>
            </w:r>
          </w:p>
        </w:tc>
        <w:tc>
          <w:tcPr>
            <w:tcW w:type="dxa" w:w="1584"/>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6"/>
              </w:rPr>
              <w:t>62.581 RMB/day</w:t>
            </w:r>
          </w:p>
        </w:tc>
      </w:tr>
    </w:tbl>
    <w:p>
      <w:pPr>
        <w:spacing w:after="0"/>
      </w:pPr>
    </w:p>
    <w:tbl>
      <w:tblPr>
        <w:tblStyle w:val="TableGrid"/>
        <w:tblW w:type="dxa" w:w="9287"/>
        <w:jc w:val="center"/>
        <w:tblLayout w:type="fixed"/>
        <w:tblLook w:firstColumn="1" w:firstRow="1" w:lastColumn="0" w:lastRow="0" w:noHBand="0" w:noVBand="1" w:val="04A0"/>
        <w:tblInd w:w="0" w:type="dxa"/>
      </w:tblPr>
      <w:tblGrid>
        <w:gridCol w:w="4176"/>
        <w:gridCol w:w="5112"/>
      </w:tblGrid>
      <w:tr>
        <w:trPr>
          <w:cantSplit/>
          <w:tblHeader w:val="true"/>
        </w:trPr>
        <w:tc>
          <w:tcPr>
            <w:tcW w:type="dxa" w:w="4176"/>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Observed-day statistic</w:t>
            </w:r>
          </w:p>
        </w:tc>
        <w:tc>
          <w:tcPr>
            <w:tcW w:type="dxa" w:w="5112"/>
            <w:shd w:fill="1F4E79"/>
            <w:vAlign w:val="center"/>
            <w:tcMar>
              <w:top w:w="80" w:type="dxa"/>
              <w:start w:w="100" w:type="dxa"/>
              <w:bottom w:w="80" w:type="dxa"/>
              <w:end w:w="100" w:type="dxa"/>
            </w:tcMar>
          </w:tcPr>
          <w:p>
            <w:pPr>
              <w:spacing w:before="0" w:after="0" w:line="240" w:lineRule="auto"/>
            </w:pPr>
            <w:r/>
            <w:r>
              <w:rPr>
                <w:rFonts w:ascii="Calibri" w:hAnsi="Calibri"/>
                <w:b/>
                <w:color w:val="FFFFFF"/>
                <w:sz w:val="17"/>
              </w:rPr>
              <w:t>Value</w:t>
            </w:r>
          </w:p>
        </w:tc>
      </w:tr>
      <w:tr>
        <w:tc>
          <w:tcPr>
            <w:tcW w:type="dxa" w:w="4176"/>
            <w:vAlign w:val="center"/>
            <w:tcMar>
              <w:top w:w="80" w:type="dxa"/>
              <w:start w:w="100" w:type="dxa"/>
              <w:bottom w:w="80" w:type="dxa"/>
              <w:end w:w="100" w:type="dxa"/>
            </w:tcMar>
          </w:tcPr>
          <w:p>
            <w:pPr>
              <w:spacing w:before="0" w:after="0" w:line="240" w:lineRule="auto"/>
            </w:pPr>
            <w:r/>
            <w:r>
              <w:rPr>
                <w:rFonts w:ascii="Calibri" w:hAnsi="Calibri"/>
                <w:b w:val="0"/>
                <w:color w:val="1F2937"/>
                <w:sz w:val="17"/>
              </w:rPr>
              <w:t>P05 / P25 / P75 / P95 modeled saving</w:t>
            </w:r>
          </w:p>
        </w:tc>
        <w:tc>
          <w:tcPr>
            <w:tcW w:type="dxa" w:w="5112"/>
            <w:vAlign w:val="center"/>
            <w:tcMar>
              <w:top w:w="80" w:type="dxa"/>
              <w:start w:w="100" w:type="dxa"/>
              <w:bottom w:w="80" w:type="dxa"/>
              <w:end w:w="100" w:type="dxa"/>
            </w:tcMar>
          </w:tcPr>
          <w:p>
            <w:pPr>
              <w:spacing w:before="0" w:after="0" w:line="240" w:lineRule="auto"/>
            </w:pPr>
            <w:r/>
            <w:r>
              <w:rPr>
                <w:rFonts w:ascii="Calibri" w:hAnsi="Calibri"/>
                <w:b w:val="0"/>
                <w:color w:val="1F2937"/>
                <w:sz w:val="17"/>
              </w:rPr>
              <w:t>3.910 / 42.595 / 73.605 / 91.757 RMB/day</w:t>
            </w:r>
          </w:p>
        </w:tc>
      </w:tr>
      <w:tr>
        <w:tc>
          <w:tcPr>
            <w:tcW w:type="dxa" w:w="4176"/>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Minimum / maximum modeled saving</w:t>
            </w:r>
          </w:p>
        </w:tc>
        <w:tc>
          <w:tcPr>
            <w:tcW w:type="dxa" w:w="5112"/>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0.819 / 98.215 RMB/day</w:t>
            </w:r>
          </w:p>
        </w:tc>
      </w:tr>
      <w:tr>
        <w:tc>
          <w:tcPr>
            <w:tcW w:type="dxa" w:w="4176"/>
            <w:vAlign w:val="center"/>
            <w:tcMar>
              <w:top w:w="80" w:type="dxa"/>
              <w:start w:w="100" w:type="dxa"/>
              <w:bottom w:w="80" w:type="dxa"/>
              <w:end w:w="100" w:type="dxa"/>
            </w:tcMar>
          </w:tcPr>
          <w:p>
            <w:pPr>
              <w:spacing w:before="0" w:after="0" w:line="240" w:lineRule="auto"/>
            </w:pPr>
            <w:r/>
            <w:r>
              <w:rPr>
                <w:rFonts w:ascii="Calibri" w:hAnsi="Calibri"/>
                <w:b w:val="0"/>
                <w:color w:val="1F2937"/>
                <w:sz w:val="17"/>
              </w:rPr>
              <w:t>Positive modeled saving days</w:t>
            </w:r>
          </w:p>
        </w:tc>
        <w:tc>
          <w:tcPr>
            <w:tcW w:type="dxa" w:w="5112"/>
            <w:vAlign w:val="center"/>
            <w:tcMar>
              <w:top w:w="80" w:type="dxa"/>
              <w:start w:w="100" w:type="dxa"/>
              <w:bottom w:w="80" w:type="dxa"/>
              <w:end w:w="100" w:type="dxa"/>
            </w:tcMar>
          </w:tcPr>
          <w:p>
            <w:pPr>
              <w:spacing w:before="0" w:after="0" w:line="240" w:lineRule="auto"/>
            </w:pPr>
            <w:r/>
            <w:r>
              <w:rPr>
                <w:rFonts w:ascii="Calibri" w:hAnsi="Calibri"/>
                <w:b w:val="0"/>
                <w:color w:val="1F2937"/>
                <w:sz w:val="17"/>
              </w:rPr>
              <w:t>90 / 90</w:t>
            </w:r>
          </w:p>
        </w:tc>
      </w:tr>
      <w:tr>
        <w:tc>
          <w:tcPr>
            <w:tcW w:type="dxa" w:w="4176"/>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Scenario-set aggregate</w:t>
            </w:r>
          </w:p>
        </w:tc>
        <w:tc>
          <w:tcPr>
            <w:tcW w:type="dxa" w:w="5112"/>
            <w:shd w:fill="F8FAFC"/>
            <w:vAlign w:val="center"/>
            <w:tcMar>
              <w:top w:w="80" w:type="dxa"/>
              <w:start w:w="100" w:type="dxa"/>
              <w:bottom w:w="80" w:type="dxa"/>
              <w:end w:w="100" w:type="dxa"/>
            </w:tcMar>
          </w:tcPr>
          <w:p>
            <w:pPr>
              <w:spacing w:before="0" w:after="0" w:line="240" w:lineRule="auto"/>
            </w:pPr>
            <w:r/>
            <w:r>
              <w:rPr>
                <w:rFonts w:ascii="Calibri" w:hAnsi="Calibri"/>
                <w:b w:val="0"/>
                <w:color w:val="1F2937"/>
                <w:sz w:val="17"/>
              </w:rPr>
              <w:t>5044.8 RMB (not a historical quarterly saving)</w:t>
            </w:r>
          </w:p>
        </w:tc>
      </w:tr>
    </w:tbl>
    <w:p>
      <w:pPr>
        <w:spacing w:after="0"/>
      </w:pPr>
    </w:p>
    <w:tbl>
      <w:tblPr>
        <w:tblStyle w:val="TableGrid"/>
        <w:tblW w:type="dxa" w:w="9288"/>
        <w:jc w:val="center"/>
        <w:tblLayout w:type="fixed"/>
        <w:tblLook w:firstColumn="1" w:firstRow="1" w:lastColumn="0" w:lastRow="0" w:noHBand="0" w:noVBand="1" w:val="04A0"/>
        <w:tblInd w:w="0" w:type="dxa"/>
      </w:tblPr>
      <w:tblGrid>
        <w:gridCol w:w="9288"/>
      </w:tblGrid>
      <w:tr>
        <w:trPr>
          <w:cantSplit/>
        </w:trPr>
        <w:tc>
          <w:tcPr>
            <w:tcW w:type="dxa" w:w="9288"/>
            <w:shd w:fill="FFF4D6"/>
            <w:tcMar>
              <w:top w:w="130" w:type="dxa"/>
              <w:start w:w="150" w:type="dxa"/>
              <w:bottom w:w="130" w:type="dxa"/>
              <w:end w:w="150" w:type="dxa"/>
            </w:tcMar>
          </w:tcPr>
          <w:p>
            <w:pPr>
              <w:spacing w:after="40"/>
            </w:pPr>
            <w:r>
              <w:rPr>
                <w:rFonts w:ascii="Calibri" w:hAnsi="Calibri"/>
                <w:b/>
                <w:color w:val="B26A00"/>
                <w:sz w:val="18"/>
              </w:rPr>
              <w:t>ECONOMIC INTERPRETATION</w:t>
            </w:r>
          </w:p>
          <w:p>
            <w:pPr>
              <w:spacing w:after="0" w:line="245" w:lineRule="auto"/>
            </w:pPr>
            <w:r>
              <w:rPr>
                <w:rFonts w:ascii="Calibri" w:hAnsi="Calibri"/>
                <w:color w:val="1F2937"/>
                <w:sz w:val="20"/>
              </w:rPr>
              <w:t>Each of the 90 observed price curves was applied to the same representative sunny/normal load and PV profile. Energy cost includes grid imports only, assumes zero export compensation, and assumes commercial access to the stated Shandong day-ahead economic clearing price.</w:t>
            </w:r>
          </w:p>
        </w:tc>
      </w:tr>
    </w:tbl>
    <w:p>
      <w:pPr>
        <w:spacing w:after="0"/>
      </w:pPr>
    </w:p>
    <w:p>
      <w:r>
        <w:br w:type="page"/>
      </w:r>
    </w:p>
    <w:p>
      <w:pPr>
        <w:pStyle w:val="Heading1"/>
      </w:pPr>
      <w:r>
        <w:t>10. Limitations and Claim Boundaries</w:t>
      </w:r>
    </w:p>
    <w:p>
      <w:pPr>
        <w:spacing w:after="60" w:line="245" w:lineRule="auto"/>
        <w:ind w:left="403" w:hanging="259"/>
      </w:pPr>
      <w:r>
        <w:rPr>
          <w:rFonts w:ascii="Calibri" w:hAnsi="Calibri"/>
          <w:sz w:val="21"/>
        </w:rPr>
        <w:t>• The 15-minute model resolves supervisory energy dispatch, not converter switching, DC-link voltage, reactive power or electromagnetic transients.</w:t>
      </w:r>
    </w:p>
    <w:p>
      <w:pPr>
        <w:spacing w:after="60" w:line="245" w:lineRule="auto"/>
        <w:ind w:left="403" w:hanging="259"/>
      </w:pPr>
      <w:r>
        <w:rPr>
          <w:rFonts w:ascii="Calibri" w:hAnsi="Calibri"/>
          <w:sz w:val="21"/>
        </w:rPr>
        <w:t>• Load and PV profiles are representative rather than synchronized measured histories from a specific site.</w:t>
      </w:r>
    </w:p>
    <w:p>
      <w:pPr>
        <w:spacing w:after="60" w:line="245" w:lineRule="auto"/>
        <w:ind w:left="403" w:hanging="259"/>
      </w:pPr>
      <w:r>
        <w:rPr>
          <w:rFonts w:ascii="Calibri" w:hAnsi="Calibri"/>
          <w:sz w:val="21"/>
        </w:rPr>
        <w:t>• Battery charge and discharge efficiencies are fixed at 95%; temperature, nonlinear internal resistance, ageing and degradation are not modeled.</w:t>
      </w:r>
    </w:p>
    <w:p>
      <w:pPr>
        <w:spacing w:after="60" w:line="245" w:lineRule="auto"/>
        <w:ind w:left="403" w:hanging="259"/>
      </w:pPr>
      <w:r>
        <w:rPr>
          <w:rFonts w:ascii="Calibri" w:hAnsi="Calibri"/>
          <w:sz w:val="21"/>
        </w:rPr>
        <w:t>• The price study changes only the price signal while repeating one physical day; it is a controlled sensitivity study rather than historical operation.</w:t>
      </w:r>
    </w:p>
    <w:p>
      <w:pPr>
        <w:spacing w:after="60" w:line="245" w:lineRule="auto"/>
        <w:ind w:left="403" w:hanging="259"/>
      </w:pPr>
      <w:r>
        <w:rPr>
          <w:rFonts w:ascii="Calibri" w:hAnsi="Calibri"/>
          <w:sz w:val="21"/>
        </w:rPr>
        <w:t>• The main price statistics exclude the fully imputed 2026-06-13 price day.</w:t>
      </w:r>
    </w:p>
    <w:p>
      <w:pPr>
        <w:spacing w:after="60" w:line="245" w:lineRule="auto"/>
        <w:ind w:left="403" w:hanging="259"/>
      </w:pPr>
      <w:r>
        <w:rPr>
          <w:rFonts w:ascii="Calibri" w:hAnsi="Calibri"/>
          <w:sz w:val="21"/>
        </w:rPr>
        <w:t>• The commercial customer is assumed to buy at the Shandong day-ahead clearing price; retail contract terms, network charges, taxes and settlement rules are outside scope.</w:t>
      </w:r>
    </w:p>
    <w:p>
      <w:pPr>
        <w:spacing w:after="60" w:line="245" w:lineRule="auto"/>
        <w:ind w:left="403" w:hanging="259"/>
      </w:pPr>
      <w:r>
        <w:rPr>
          <w:rFonts w:ascii="Calibri" w:hAnsi="Calibri"/>
          <w:sz w:val="21"/>
        </w:rPr>
        <w:t>• Export compensation is zero. Demand charges, CAPEX, EPC, HVAC, fire protection, O&amp;M, warranty, replacement and financing costs are omitted.</w:t>
      </w:r>
    </w:p>
    <w:p>
      <w:pPr>
        <w:spacing w:after="60" w:line="245" w:lineRule="auto"/>
        <w:ind w:left="403" w:hanging="259"/>
      </w:pPr>
      <w:r>
        <w:rPr>
          <w:rFonts w:ascii="Calibri" w:hAnsi="Calibri"/>
          <w:sz w:val="21"/>
        </w:rPr>
        <w:t>• The 340 kWh / 70 kW recommendation applies to the tested profiles and assumptions; it is not a universal site design or a direct supplier specification.</w:t>
      </w:r>
    </w:p>
    <w:p>
      <w:pPr>
        <w:spacing w:after="60" w:line="245" w:lineRule="auto"/>
        <w:ind w:left="403" w:hanging="259"/>
      </w:pPr>
      <w:r>
        <w:rPr>
          <w:rFonts w:ascii="Calibri" w:hAnsi="Calibri"/>
          <w:sz w:val="21"/>
        </w:rPr>
        <w:t>• The study supports technical feasibility and comparative controller behavior. It does not establish a unique ROI, payback period or guaranteed saving.</w:t>
      </w:r>
    </w:p>
    <w:p>
      <w:pPr>
        <w:pStyle w:val="Heading1"/>
      </w:pPr>
      <w:r>
        <w:t>11. Recommended Engineering Extensions</w:t>
      </w:r>
    </w:p>
    <w:p>
      <w:pPr>
        <w:spacing w:after="80" w:line="245" w:lineRule="auto"/>
        <w:ind w:left="461" w:hanging="360"/>
      </w:pPr>
      <w:r>
        <w:rPr>
          <w:rFonts w:ascii="Calibri" w:hAnsi="Calibri"/>
          <w:sz w:val="21"/>
        </w:rPr>
        <w:t>1.  Replace the representative load/PV inputs with synchronized measured site profiles and repeat the sizing and multi-day validation workflow.</w:t>
      </w:r>
    </w:p>
    <w:p>
      <w:pPr>
        <w:spacing w:after="80" w:line="245" w:lineRule="auto"/>
        <w:ind w:left="461" w:hanging="360"/>
      </w:pPr>
      <w:r>
        <w:rPr>
          <w:rFonts w:ascii="Calibri" w:hAnsi="Calibri"/>
          <w:sz w:val="21"/>
        </w:rPr>
        <w:t>2.  Add tariff, demand-charge and export-compensation sensitivity after obtaining an applicable commercial contract.</w:t>
      </w:r>
    </w:p>
    <w:p>
      <w:pPr>
        <w:spacing w:after="80" w:line="245" w:lineRule="auto"/>
        <w:ind w:left="461" w:hanging="360"/>
      </w:pPr>
      <w:r>
        <w:rPr>
          <w:rFonts w:ascii="Calibri" w:hAnsi="Calibri"/>
          <w:sz w:val="21"/>
        </w:rPr>
        <w:t>3.  Map the 340 kWh / 70 kW requirement to available supplier products, installation derating, fire/HVAC constraints and protection interfaces.</w:t>
      </w:r>
    </w:p>
    <w:p>
      <w:pPr>
        <w:spacing w:after="80" w:line="245" w:lineRule="auto"/>
        <w:ind w:left="461" w:hanging="360"/>
      </w:pPr>
      <w:r>
        <w:rPr>
          <w:rFonts w:ascii="Calibri" w:hAnsi="Calibri"/>
          <w:sz w:val="21"/>
        </w:rPr>
        <w:t>4.  Build a separate second-scale event model for cloud transients or DC-link response if a power-electronics-focused portfolio is required.</w:t>
      </w:r>
    </w:p>
    <w:p>
      <w:pPr>
        <w:spacing w:after="80" w:line="245" w:lineRule="auto"/>
        <w:ind w:left="461" w:hanging="360"/>
      </w:pPr>
      <w:r>
        <w:rPr>
          <w:rFonts w:ascii="Calibri" w:hAnsi="Calibri"/>
          <w:sz w:val="21"/>
        </w:rPr>
        <w:t>5.  Introduce SOC/C-rate-dependent efficiency only when traceable battery parameters are available.</w:t>
      </w:r>
    </w:p>
    <w:p>
      <w:pPr>
        <w:pStyle w:val="Heading1"/>
      </w:pPr>
      <w:r>
        <w:t>12. Conclusion</w:t>
      </w:r>
    </w:p>
    <w:p>
      <w:pPr>
        <w:spacing w:line="259" w:lineRule="auto"/>
      </w:pPr>
      <w:r>
        <w:t>The project demonstrates that effective PV-BESS engineering requires more than a nominal dispatch rule. BESS power and energy ratings, adverse operating scenarios, SOC continuity, recovery capability, economic timing and comparison validity must be treated as linked design constraints. The final 340 kWh / 70 kW prototype translated these requirements into a controller that was executable, testable and explainable. Its principal contribution is therefore not an advanced optimization algorithm, but a traceable engineering workflow from requirement definition through failure diagnosis, sizing, controller revision and independent validation.</w:t>
      </w:r>
    </w:p>
    <w:tbl>
      <w:tblPr>
        <w:tblStyle w:val="TableGrid"/>
        <w:tblW w:type="dxa" w:w="9288"/>
        <w:jc w:val="center"/>
        <w:tblLayout w:type="fixed"/>
        <w:tblLook w:firstColumn="1" w:firstRow="1" w:lastColumn="0" w:lastRow="0" w:noHBand="0" w:noVBand="1" w:val="04A0"/>
        <w:tblInd w:w="0" w:type="dxa"/>
      </w:tblPr>
      <w:tblGrid>
        <w:gridCol w:w="9288"/>
      </w:tblGrid>
      <w:tr>
        <w:trPr>
          <w:cantSplit/>
        </w:trPr>
        <w:tc>
          <w:tcPr>
            <w:tcW w:type="dxa" w:w="9288"/>
            <w:shd w:fill="E8F4EA"/>
            <w:tcMar>
              <w:top w:w="130" w:type="dxa"/>
              <w:start w:w="150" w:type="dxa"/>
              <w:bottom w:w="130" w:type="dxa"/>
              <w:end w:w="150" w:type="dxa"/>
            </w:tcMar>
          </w:tcPr>
          <w:p>
            <w:pPr>
              <w:spacing w:after="40"/>
            </w:pPr>
            <w:r>
              <w:rPr>
                <w:rFonts w:ascii="Calibri" w:hAnsi="Calibri"/>
                <w:b/>
                <w:color w:val="2E7D32"/>
                <w:sz w:val="18"/>
              </w:rPr>
              <w:t>PORTFOLIO MESSAGE</w:t>
            </w:r>
          </w:p>
          <w:p>
            <w:pPr>
              <w:spacing w:after="0" w:line="245" w:lineRule="auto"/>
            </w:pPr>
            <w:r>
              <w:rPr>
                <w:rFonts w:ascii="Calibri" w:hAnsi="Calibri"/>
                <w:color w:val="1F2937"/>
                <w:sz w:val="20"/>
              </w:rPr>
              <w:t>I understand power and energy system constraints, and I can translate an energy problem into a practical technical solution.</w:t>
            </w:r>
          </w:p>
        </w:tc>
      </w:tr>
    </w:tbl>
    <w:p>
      <w:pPr>
        <w:spacing w:after="0"/>
      </w:pPr>
    </w:p>
    <w:sectPr w:rsidR="00FC693F" w:rsidRPr="0006063C" w:rsidSect="00034616">
      <w:headerReference w:type="default" r:id="rId9"/>
      <w:footerReference w:type="default" r:id="rId10"/>
      <w:pgSz w:w="12240" w:h="15840"/>
      <w:pgMar w:top="1123"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6"/>
      </w:rPr>
      <w:t>PV-BESS EMS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420"/>
        </w:tabs>
        <w:ind w:left="420" w:hanging="2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Management Strategy for a Grid-connected PV-BESS System</dc:title>
  <dc:subject>Constraint-based sizing, multi-day validation, and price-aware grid precharging</dc:subject>
  <dc:creator>Chen Jin</dc:creator>
  <cp:keywords>PV-BESS, EMS, Simulink, peak shaving, battery sizing, state of charge, day-ahead price</cp:keywords>
  <dc:description>generated by python-docx</dc:description>
  <cp:lastModifiedBy/>
  <cp:revision>1</cp:revision>
  <dcterms:created xsi:type="dcterms:W3CDTF">2013-12-23T23:15:00Z</dcterms:created>
  <dcterms:modified xsi:type="dcterms:W3CDTF">2013-12-23T23:15:00Z</dcterms:modified>
  <cp:category/>
</cp:coreProperties>
</file>