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关于加快推进跨部门协同监管</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派单处置的通知</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各场景建设相关单位：</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遵照“六个双”应用场景建设“协同化”要求，区审改办、区大数据中心会同区市场监管局，在“六个双”综合监管平台（区市场监管建设维护）上构建了协同监管模块。为各单位跨部门、跨街镇任务工单协同处置建立了线上办理渠道。目前协同监管模块已上线实现手动派单，下一步请各单位认真梳理协同处置事项，形成事项清单，明确派单流程、处置时限和协同处置工作制度，将协同化工作目标落到实处。</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为全面实现工单任务自动派发、有效处置、监管闭环，区市场监管局形成了与各部门场景监管工作后台自动对接的接口规范，请各单位立即组织各自场景监管后台开发单位，按照一个单位一个综合监管后台原则，抓紧与区市场监管实施对接，争取本月内完成对接工作。</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请各单位在接到通知后的2个工作日内，将本项工作的业务负责同志和技术开发团队负责人的联系方式报送区大数据中心。</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联系人：吴晓青，联系电话：13391259619；郑小亮  13482538563</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80" w:lineRule="exact"/>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val="0"/>
        <w:overflowPunct/>
        <w:topLinePunct w:val="0"/>
        <w:autoSpaceDE/>
        <w:autoSpaceDN/>
        <w:bidi w:val="0"/>
        <w:adjustRightInd/>
        <w:snapToGrid/>
        <w:spacing w:line="680" w:lineRule="exact"/>
        <w:jc w:val="right"/>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区大数据中心 </w:t>
      </w:r>
    </w:p>
    <w:p>
      <w:pPr>
        <w:keepNext w:val="0"/>
        <w:keepLines w:val="0"/>
        <w:pageBreakBefore w:val="0"/>
        <w:widowControl w:val="0"/>
        <w:kinsoku/>
        <w:wordWrap/>
        <w:overflowPunct/>
        <w:topLinePunct w:val="0"/>
        <w:autoSpaceDE/>
        <w:autoSpaceDN/>
        <w:bidi w:val="0"/>
        <w:adjustRightInd/>
        <w:snapToGrid/>
        <w:spacing w:line="680" w:lineRule="exact"/>
        <w:jc w:val="righ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2019年7月9日</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反馈表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w:t>
      </w:r>
    </w:p>
    <w:tbl>
      <w:tblPr>
        <w:tblStyle w:val="3"/>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2834"/>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4" w:type="dxa"/>
            <w:vAlign w:val="top"/>
          </w:tcPr>
          <w:p>
            <w:pPr>
              <w:rPr>
                <w:rFonts w:hint="eastAsia" w:ascii="仿宋_GB2312" w:hAnsi="仿宋_GB2312" w:eastAsia="仿宋_GB2312" w:cs="仿宋_GB2312"/>
                <w:sz w:val="32"/>
                <w:szCs w:val="32"/>
                <w:vertAlign w:val="baseline"/>
                <w:lang w:val="en-US" w:eastAsia="zh-CN"/>
              </w:rPr>
            </w:pPr>
          </w:p>
        </w:tc>
        <w:tc>
          <w:tcPr>
            <w:tcW w:w="2834" w:type="dxa"/>
            <w:vAlign w:val="top"/>
          </w:tcPr>
          <w:p>
            <w:pPr>
              <w:jc w:val="center"/>
              <w:rPr>
                <w:rFonts w:hint="eastAsia"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业务负责人</w:t>
            </w:r>
          </w:p>
        </w:tc>
        <w:tc>
          <w:tcPr>
            <w:tcW w:w="2836" w:type="dxa"/>
            <w:vAlign w:val="top"/>
          </w:tcPr>
          <w:p>
            <w:pPr>
              <w:jc w:val="center"/>
              <w:rPr>
                <w:rFonts w:hint="eastAsia"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技术负责人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4" w:type="dxa"/>
            <w:vAlign w:val="top"/>
          </w:tcPr>
          <w:p>
            <w:pPr>
              <w:jc w:val="center"/>
              <w:rPr>
                <w:rFonts w:hint="eastAsia"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姓名</w:t>
            </w:r>
          </w:p>
        </w:tc>
        <w:tc>
          <w:tcPr>
            <w:tcW w:w="2834" w:type="dxa"/>
            <w:vAlign w:val="top"/>
          </w:tcPr>
          <w:p>
            <w:pPr>
              <w:rPr>
                <w:rFonts w:hint="eastAsia" w:ascii="仿宋_GB2312" w:hAnsi="仿宋_GB2312" w:eastAsia="仿宋_GB2312" w:cs="仿宋_GB2312"/>
                <w:sz w:val="32"/>
                <w:szCs w:val="32"/>
                <w:vertAlign w:val="baseline"/>
                <w:lang w:val="en-US" w:eastAsia="zh-CN"/>
              </w:rPr>
            </w:pPr>
          </w:p>
        </w:tc>
        <w:tc>
          <w:tcPr>
            <w:tcW w:w="2836" w:type="dxa"/>
            <w:vAlign w:val="top"/>
          </w:tcPr>
          <w:p>
            <w:pPr>
              <w:rPr>
                <w:rFonts w:hint="eastAsia" w:ascii="仿宋_GB2312" w:hAnsi="仿宋_GB2312" w:eastAsia="仿宋_GB2312" w:cs="仿宋_GB2312"/>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834" w:type="dxa"/>
            <w:vAlign w:val="top"/>
          </w:tcPr>
          <w:p>
            <w:pPr>
              <w:jc w:val="center"/>
              <w:rPr>
                <w:rFonts w:hint="eastAsia" w:ascii="仿宋_GB2312" w:hAnsi="仿宋_GB2312" w:eastAsia="仿宋_GB2312" w:cs="仿宋_GB2312"/>
                <w:sz w:val="32"/>
                <w:szCs w:val="32"/>
                <w:vertAlign w:val="baseline"/>
                <w:lang w:val="en-US" w:eastAsia="zh-CN"/>
              </w:rPr>
            </w:pPr>
            <w:r>
              <w:rPr>
                <w:rFonts w:hint="eastAsia" w:ascii="仿宋_GB2312" w:hAnsi="仿宋_GB2312" w:eastAsia="仿宋_GB2312" w:cs="仿宋_GB2312"/>
                <w:sz w:val="32"/>
                <w:szCs w:val="32"/>
                <w:vertAlign w:val="baseline"/>
                <w:lang w:val="en-US" w:eastAsia="zh-CN"/>
              </w:rPr>
              <w:t>联系方式</w:t>
            </w:r>
          </w:p>
        </w:tc>
        <w:tc>
          <w:tcPr>
            <w:tcW w:w="2834" w:type="dxa"/>
            <w:vAlign w:val="top"/>
          </w:tcPr>
          <w:p>
            <w:pPr>
              <w:rPr>
                <w:rFonts w:hint="eastAsia" w:ascii="仿宋_GB2312" w:hAnsi="仿宋_GB2312" w:eastAsia="仿宋_GB2312" w:cs="仿宋_GB2312"/>
                <w:sz w:val="32"/>
                <w:szCs w:val="32"/>
                <w:vertAlign w:val="baseline"/>
                <w:lang w:val="en-US" w:eastAsia="zh-CN"/>
              </w:rPr>
            </w:pPr>
          </w:p>
        </w:tc>
        <w:tc>
          <w:tcPr>
            <w:tcW w:w="2836" w:type="dxa"/>
            <w:vAlign w:val="top"/>
          </w:tcPr>
          <w:p>
            <w:pPr>
              <w:rPr>
                <w:rFonts w:hint="eastAsia" w:ascii="仿宋_GB2312" w:hAnsi="仿宋_GB2312" w:eastAsia="仿宋_GB2312" w:cs="仿宋_GB2312"/>
                <w:sz w:val="32"/>
                <w:szCs w:val="32"/>
                <w:vertAlign w:val="baseline"/>
                <w:lang w:val="en-US" w:eastAsia="zh-CN"/>
              </w:rPr>
            </w:pPr>
          </w:p>
        </w:tc>
      </w:tr>
    </w:tbl>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邮箱：wu_xq@pudong.gov.cn</w:t>
      </w:r>
    </w:p>
    <w:sectPr>
      <w:pgSz w:w="11906" w:h="16838"/>
      <w:pgMar w:top="2098" w:right="1984" w:bottom="2098" w:left="198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706EA"/>
    <w:rsid w:val="0F594BEE"/>
    <w:rsid w:val="17965C2C"/>
    <w:rsid w:val="6ABB4F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霸王猫</cp:lastModifiedBy>
  <dcterms:modified xsi:type="dcterms:W3CDTF">2019-07-09T02:15:24Z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