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469153C"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 xml:space="preserve">Instructions for </w:t>
            </w:r>
            <w:r w:rsidR="00C7718B">
              <w:rPr>
                <w:rFonts w:ascii="Times New Roman" w:hAnsi="Times New Roman" w:cs="Times New Roman"/>
                <w:b/>
                <w:bCs/>
                <w:sz w:val="30"/>
                <w:szCs w:val="30"/>
              </w:rPr>
              <w:t>EMNLP</w:t>
            </w:r>
            <w:r w:rsidRPr="59F793D9">
              <w:rPr>
                <w:rFonts w:ascii="Times New Roman" w:hAnsi="Times New Roman" w:cs="Times New Roman"/>
                <w:b/>
                <w:bCs/>
                <w:sz w:val="30"/>
                <w:szCs w:val="30"/>
              </w:rPr>
              <w:t xml:space="preserve">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18A9DBA"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C7718B">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290E6FE2" w:rsidR="00A5424A" w:rsidRDefault="59F793D9" w:rsidP="00387E4F">
      <w:pPr>
        <w:pStyle w:val="ACLAbstractText"/>
      </w:pPr>
      <w:r>
        <w:t xml:space="preserve">This document contains the instructions for preparing a manuscript for the proceedings of </w:t>
      </w:r>
      <w:r w:rsidR="00C7718B">
        <w:t>EMNLP 2020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15080EDB" w:rsidR="00387E4F" w:rsidRPr="00BE4D9A" w:rsidRDefault="59F793D9" w:rsidP="00392298">
      <w:pPr>
        <w:pStyle w:val="ACLText"/>
        <w:ind w:right="49"/>
      </w:pPr>
      <w:r>
        <w:t xml:space="preserve">This document has been adapted </w:t>
      </w:r>
      <w:r w:rsidR="001F52AB">
        <w:t xml:space="preserve">by </w:t>
      </w:r>
      <w:proofErr w:type="spellStart"/>
      <w:r w:rsidR="006452F8">
        <w:t>Yulan</w:t>
      </w:r>
      <w:proofErr w:type="spellEnd"/>
      <w:r w:rsidR="006452F8">
        <w:t xml:space="preserve"> He </w:t>
      </w:r>
      <w:r>
        <w:t>from the instructions for earlier ACL and NAACL proceedings, including those for</w:t>
      </w:r>
      <w:r w:rsidR="00F50EE5">
        <w:t xml:space="preserve"> </w:t>
      </w:r>
      <w:r w:rsidR="006452F8">
        <w:t xml:space="preserve">ACL 2020 by </w:t>
      </w:r>
      <w:r w:rsidR="006452F8" w:rsidRPr="00301704">
        <w:t xml:space="preserve">Steven </w:t>
      </w:r>
      <w:proofErr w:type="spellStart"/>
      <w:r w:rsidR="006452F8" w:rsidRPr="00301704">
        <w:t>Bethard</w:t>
      </w:r>
      <w:proofErr w:type="spellEnd"/>
      <w:r w:rsidR="006452F8" w:rsidRPr="00301704">
        <w:t xml:space="preserve">, Ryan </w:t>
      </w:r>
      <w:proofErr w:type="spellStart"/>
      <w:r w:rsidR="006452F8" w:rsidRPr="00301704">
        <w:t>Cotterrell</w:t>
      </w:r>
      <w:proofErr w:type="spellEnd"/>
      <w:r w:rsidR="006452F8" w:rsidRPr="00301704">
        <w:t xml:space="preserve"> and Rui Yan</w:t>
      </w:r>
      <w:r w:rsidR="006452F8">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49F6AD0F" w:rsidR="00387E4F" w:rsidRDefault="00387E4F" w:rsidP="00387E4F">
      <w:pPr>
        <w:pStyle w:val="ACLText"/>
      </w:pPr>
      <w:r w:rsidRPr="00A36FEC">
        <w:t xml:space="preserve">The following instructions are directed to authors of papers submitted to </w:t>
      </w:r>
      <w:r w:rsidR="00C7718B">
        <w:t>EMNLP 2020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5D342143" w:rsidR="001F52AB" w:rsidRPr="001F52AB" w:rsidRDefault="0087390C" w:rsidP="00726D45">
      <w:pPr>
        <w:pStyle w:val="ACLURLHyperlink"/>
        <w:spacing w:before="120" w:after="120"/>
      </w:pPr>
      <w:hyperlink r:id="rId8" w:history="1">
        <w:r w:rsidR="00630CAF" w:rsidRPr="00486534">
          <w:rPr>
            <w:rStyle w:val="Hyperlink"/>
            <w:rFonts w:ascii="Courier New" w:hAnsi="Courier New"/>
            <w:spacing w:val="-5"/>
          </w:rPr>
          <w:t>https://2020.emnlp.org/files/emnlp2020-templates.zip</w:t>
        </w:r>
      </w:hyperlink>
    </w:p>
    <w:p w14:paraId="5A170C6A" w14:textId="72406093"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 xml:space="preserve">ly tailored for the </w:t>
      </w:r>
      <w:r w:rsidR="00C7718B">
        <w:rPr>
          <w:lang w:eastAsia="tr-TR"/>
        </w:rPr>
        <w:t>EMNLP 2020</w:t>
      </w:r>
      <w:r w:rsidRPr="00C15082">
        <w:rPr>
          <w:lang w:eastAsia="tr-TR"/>
        </w:rPr>
        <w:t xml:space="preserve"> proceedings.</w:t>
      </w:r>
    </w:p>
    <w:p w14:paraId="31456FB5" w14:textId="77777777" w:rsidR="00C1585C" w:rsidRDefault="00C1585C" w:rsidP="00C1585C">
      <w:pPr>
        <w:pStyle w:val="ACLTextFirstLine"/>
        <w:ind w:firstLine="0"/>
      </w:pPr>
    </w:p>
    <w:p w14:paraId="7F453C74" w14:textId="4E8D2A3B"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00C7718B">
        <w:rPr>
          <w:rStyle w:val="ACLCodeChar"/>
        </w:rPr>
        <w:t>emnlp2020</w:t>
      </w:r>
      <w:r w:rsidRPr="002C4AAA">
        <w:rPr>
          <w:rStyle w:val="ACLCodeChar"/>
        </w:rPr>
        <w:t>.docx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previously showed ... ”</w:t>
      </w:r>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65AC1816" w14:textId="6A37D22F" w:rsidR="00630CAF" w:rsidRDefault="00630CAF" w:rsidP="00446B8B">
      <w:pPr>
        <w:pStyle w:val="ACLTextFirstLine"/>
      </w:pPr>
      <w:r w:rsidRPr="00630CAF">
        <w:t xml:space="preserve">EMNLP 2020 will not consider any paper that is under review in a journal or another conference at the time of submission, and submitted papers must not be submitted elsewhere during the EMNLP 2020 review period. This policy covers all refereed and archival conferences and workshops (e.g., COLING, </w:t>
      </w:r>
      <w:proofErr w:type="spellStart"/>
      <w:r w:rsidRPr="00630CAF">
        <w:t>NeurIPS</w:t>
      </w:r>
      <w:proofErr w:type="spellEnd"/>
      <w:r w:rsidRPr="00630CAF">
        <w:t>, ACL workshops). For example, a paper under review at an ACL workshop cannot be dual-submitted to EMNLP 2020. The only exception is that a paper can be dual-submitted to both EMNLP 2020 and an EMNLP workshop</w:t>
      </w:r>
      <w:r w:rsidR="00D31228">
        <w:t xml:space="preserve"> </w:t>
      </w:r>
      <w:r w:rsidR="00D31228" w:rsidRPr="00D31228">
        <w:t>which has</w:t>
      </w:r>
      <w:r w:rsidR="00D31228">
        <w:t xml:space="preserve"> </w:t>
      </w:r>
      <w:r w:rsidR="00D31228" w:rsidRPr="00D31228">
        <w:t>its submission deadline falling after our original</w:t>
      </w:r>
      <w:r w:rsidR="00D31228">
        <w:t xml:space="preserve"> </w:t>
      </w:r>
      <w:r w:rsidR="00D31228" w:rsidRPr="00D31228">
        <w:t>notification date of August 8, 2020</w:t>
      </w:r>
      <w:r w:rsidRPr="00630CAF">
        <w:t xml:space="preserve">. </w:t>
      </w:r>
      <w:bookmarkStart w:id="2" w:name="_GoBack"/>
      <w:bookmarkEnd w:id="2"/>
      <w:r w:rsidRPr="00630CAF">
        <w:t xml:space="preserve">In addition, we will not consider any paper that overlaps significantly in content or results with papers that will be (or have been) published elsewhere. </w:t>
      </w:r>
    </w:p>
    <w:p w14:paraId="6A571188" w14:textId="1624E64D" w:rsidR="00446B8B" w:rsidRPr="00446B8B" w:rsidRDefault="00446B8B" w:rsidP="00446B8B">
      <w:pPr>
        <w:pStyle w:val="ACLTextFirstLine"/>
      </w:pPr>
      <w:r>
        <w:t xml:space="preserve">Authors submitting more than one paper to </w:t>
      </w:r>
      <w:r w:rsidR="00C7718B">
        <w:t>EMNLP 2020</w:t>
      </w:r>
      <w:r>
        <w:t xml:space="preserve">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 xml:space="preserve">pages </w:t>
      </w:r>
      <w:r w:rsidRPr="009704C1">
        <w:rPr>
          <w:b/>
          <w:bCs/>
        </w:rPr>
        <w:lastRenderedPageBreak/>
        <w:t>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For the production of the electronic manuscript you must use Adobe's Portable Document Format (PDF).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4"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4"/>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camera ready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lastRenderedPageBreak/>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5" w:name="TheFirstPage"/>
      <w:bookmarkEnd w:id="5"/>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If they are different, the publication chairs may resolve the difference without consulting with you; so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 xml:space="preserve">Even in the anonymous version of the paper, you should maintain space for </w:t>
      </w:r>
      <w:r w:rsidRPr="00F422C2">
        <w:rPr>
          <w:b/>
          <w:bCs/>
          <w:lang w:eastAsia="tr-TR"/>
        </w:rPr>
        <w:t>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AF456F">
        <w:rPr>
          <w:b/>
          <w:bCs/>
        </w:rPr>
        <w:t>Abstract</w:t>
      </w:r>
      <w:r>
        <w:t xml:space="preserve"> in a 12 point bold font above the body of the abstract. The abstract should be a concise summary of the general thesis and conclusions of the paper. It should be no longer than 200 words. The abstract text should be in 10 point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6" w:name="_Ref21518064"/>
      <w:r>
        <w:t>Graphics</w:t>
      </w:r>
      <w:bookmarkEnd w:id="6"/>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10 point text. Captions should be placed below illustrations. Captions that </w:t>
      </w:r>
      <w:r>
        <w:lastRenderedPageBreak/>
        <w:t xml:space="preserve">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r w:rsidRPr="00E06B8A">
              <w:fldChar w:fldCharType="begin"/>
            </w:r>
            <w:r w:rsidRPr="00E06B8A">
              <w:instrText xml:space="preserve"> SEQ Figure \* ARABIC </w:instrText>
            </w:r>
            <w:r w:rsidRPr="00E06B8A">
              <w:fldChar w:fldCharType="separate"/>
            </w:r>
            <w:r w:rsidR="00AC7CEE">
              <w:rPr>
                <w:noProof/>
              </w:rPr>
              <w:t>1</w:t>
            </w:r>
            <w:r w:rsidRPr="00E06B8A">
              <w:fldChar w:fldCharType="end"/>
            </w:r>
            <w:bookmarkEnd w:id="7"/>
            <w:r w:rsidRPr="00E06B8A">
              <w:t xml:space="preserve">: </w:t>
            </w:r>
            <w:r>
              <w:t>A figure with a caption that runs for more than one line</w:t>
            </w:r>
            <w:r w:rsidRPr="00E06B8A">
              <w:rPr>
                <w:b/>
              </w:rPr>
              <w:t>.</w:t>
            </w:r>
            <w:bookmarkEnd w:id="8"/>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lastRenderedPageBreak/>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10" w:name="SecSubmittedToCamera"/>
      <w:bookmarkEnd w:id="10"/>
    </w:p>
    <w:p w14:paraId="2DCADCC7" w14:textId="5991BC0D" w:rsidR="00BE71FB" w:rsidRPr="00BE71FB" w:rsidRDefault="00BE71FB" w:rsidP="00BE71FB">
      <w:pPr>
        <w:pStyle w:val="ACLSection"/>
        <w:numPr>
          <w:ilvl w:val="0"/>
          <w:numId w:val="3"/>
        </w:numPr>
        <w:ind w:left="403" w:hanging="403"/>
      </w:pPr>
      <w:bookmarkStart w:id="11" w:name="_Ref21520136"/>
      <w:r w:rsidRPr="00BE71FB">
        <w:t>Accessibility</w:t>
      </w:r>
      <w:bookmarkEnd w:id="11"/>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lastRenderedPageBreak/>
        <w:t>transliteration</w:t>
      </w:r>
    </w:p>
    <w:p w14:paraId="3C2CBA56" w14:textId="56FC6CDC" w:rsidR="008B2D46" w:rsidRDefault="008E05B4" w:rsidP="00AC7CEE">
      <w:pPr>
        <w:pStyle w:val="ACLText"/>
        <w:jc w:val="center"/>
      </w:pPr>
      <w:r>
        <w:t>“translation”.</w:t>
      </w:r>
      <w:bookmarkEnd w:id="14"/>
      <w:bookmarkEnd w:id="15"/>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6"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8" w:name="Ashok1981"/>
      <w:bookmarkStart w:id="19" w:name="ChandraEtAl1981"/>
      <w:bookmarkEnd w:id="17"/>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8"/>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2" w:name="GoodmanEtAl2016"/>
      <w:bookmarkStart w:id="23" w:name="James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2"/>
    <w:bookmarkEnd w:id="2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1"/>
    <w:bookmarkEnd w:id="2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5"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5"/>
    </w:p>
    <w:p w14:paraId="415A6A99" w14:textId="70F2FD78" w:rsidR="00C4163A" w:rsidRDefault="00C4163A" w:rsidP="00490093">
      <w:pPr>
        <w:pStyle w:val="ACLSection"/>
        <w:numPr>
          <w:ilvl w:val="0"/>
          <w:numId w:val="5"/>
        </w:numPr>
      </w:pPr>
      <w:bookmarkStart w:id="26" w:name="_Ref21520398"/>
      <w:bookmarkStart w:id="27" w:name="_Ref344944678"/>
      <w:r>
        <w:t>Appendices</w:t>
      </w:r>
      <w:bookmarkEnd w:id="26"/>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8" w:name="_Ref523208225"/>
      <w:r>
        <w:t>Supplementary Material</w:t>
      </w:r>
      <w:bookmarkEnd w:id="27"/>
      <w:bookmarkEnd w:id="28"/>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DC75A" w14:textId="77777777" w:rsidR="0087390C" w:rsidRDefault="0087390C" w:rsidP="00667A63">
      <w:pPr>
        <w:spacing w:after="0" w:line="240" w:lineRule="auto"/>
      </w:pPr>
      <w:r>
        <w:separator/>
      </w:r>
    </w:p>
    <w:p w14:paraId="1515872A" w14:textId="77777777" w:rsidR="0087390C" w:rsidRDefault="0087390C"/>
  </w:endnote>
  <w:endnote w:type="continuationSeparator" w:id="0">
    <w:p w14:paraId="6D77ECED" w14:textId="77777777" w:rsidR="0087390C" w:rsidRDefault="0087390C" w:rsidP="00667A63">
      <w:pPr>
        <w:spacing w:after="0" w:line="240" w:lineRule="auto"/>
      </w:pPr>
      <w:r>
        <w:continuationSeparator/>
      </w:r>
    </w:p>
    <w:p w14:paraId="2CC923FB" w14:textId="77777777" w:rsidR="0087390C" w:rsidRDefault="0087390C"/>
    <w:p w14:paraId="3B760C9B" w14:textId="77777777" w:rsidR="0087390C" w:rsidRDefault="0087390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1DD6" w14:textId="77777777" w:rsidR="0087390C" w:rsidRDefault="0087390C" w:rsidP="00F422C2">
      <w:pPr>
        <w:spacing w:after="0" w:line="240" w:lineRule="auto"/>
        <w:contextualSpacing/>
      </w:pPr>
      <w:r>
        <w:separator/>
      </w:r>
    </w:p>
  </w:footnote>
  <w:footnote w:type="continuationSeparator" w:id="0">
    <w:p w14:paraId="6171D7B6" w14:textId="77777777" w:rsidR="0087390C" w:rsidRDefault="0087390C" w:rsidP="00667A63">
      <w:pPr>
        <w:spacing w:after="0" w:line="240" w:lineRule="auto"/>
      </w:pPr>
      <w:r>
        <w:continuationSeparator/>
      </w:r>
    </w:p>
    <w:p w14:paraId="676D3FAD" w14:textId="77777777" w:rsidR="0087390C" w:rsidRDefault="0087390C"/>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15D512DA" w:rsidR="003E32C8" w:rsidRDefault="00C7718B" w:rsidP="00D7629C">
    <w:pPr>
      <w:pStyle w:val="ACLSubmissionConfidentialityHeader"/>
    </w:pPr>
    <w:bookmarkStart w:id="29" w:name="_Hlk501892324"/>
    <w:bookmarkStart w:id="30" w:name="_Hlk501892325"/>
    <w:bookmarkStart w:id="31" w:name="_Hlk501892326"/>
    <w:r>
      <w:t>EMNLP</w:t>
    </w:r>
    <w:r w:rsidR="003E32C8">
      <w:t xml:space="preserve"> 2020 Submission ***. Confidential review Copy. DO NOT DISTRIBUTE.</w:t>
    </w:r>
    <w:bookmarkEnd w:id="29"/>
    <w:bookmarkEnd w:id="30"/>
    <w:bookmarkEnd w:id="31"/>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27D5C"/>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197B"/>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30CAF"/>
    <w:rsid w:val="006452F8"/>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390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7718B"/>
    <w:rsid w:val="00C9197E"/>
    <w:rsid w:val="00CA072F"/>
    <w:rsid w:val="00CA4DC2"/>
    <w:rsid w:val="00CD72A1"/>
    <w:rsid w:val="00CE3460"/>
    <w:rsid w:val="00CE75D4"/>
    <w:rsid w:val="00D31228"/>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0.emnlp.org/files/emnlp2020-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He, Yulan</cp:lastModifiedBy>
  <cp:revision>81</cp:revision>
  <cp:lastPrinted>2018-09-02T23:06:00Z</cp:lastPrinted>
  <dcterms:created xsi:type="dcterms:W3CDTF">2017-12-26T17:57:00Z</dcterms:created>
  <dcterms:modified xsi:type="dcterms:W3CDTF">2020-05-22T09:16:00Z</dcterms:modified>
</cp:coreProperties>
</file>