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 w:ascii="Times New Roman" w:hAnsi="Times New Roman" w:eastAsia="宋体" w:cs="Times New Roman"/>
          <w:i w:val="0"/>
          <w:kern w:val="0"/>
          <w:sz w:val="18"/>
          <w:szCs w:val="1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【中文品名】三唑仑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【药效类别】催眠镇静药&gt;苯并二氮卓类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【通用药名】TRIAZOLAM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【别　　名】三唑安定，三唑苯二氮, Clorazolam，Halcion，U-33030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 xml:space="preserve">【化学名称】 </w:t>
      </w:r>
      <w:r>
        <w:rPr>
          <w:rFonts w:hint="eastAsia" w:asciiTheme="majorEastAsia" w:hAnsiTheme="majorEastAsia" w:eastAsiaTheme="majorEastAsia" w:cstheme="majorEastAsia"/>
          <w:i/>
          <w:kern w:val="0"/>
          <w:sz w:val="24"/>
          <w:szCs w:val="24"/>
          <w:lang w:val="en-US" w:eastAsia="zh-CN" w:bidi="ar-SA"/>
        </w:rPr>
        <w:t>4H-[1,2,4]Triazolo[4,3-a][1,4]benzodiazepine, 8-chloro-6-(2-chlorophenyl)-1-methyl-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【CA登记号】[28911-01-5]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【结 构 式】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i w:val="0"/>
          <w:kern w:val="0"/>
          <w:sz w:val="18"/>
          <w:szCs w:val="18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i w:val="0"/>
          <w:kern w:val="0"/>
          <w:sz w:val="18"/>
          <w:szCs w:val="18"/>
          <w:lang w:val="en-US" w:eastAsia="zh-CN" w:bidi="ar-SA"/>
        </w:rPr>
        <w:instrText xml:space="preserve">INCLUDEPICTURE \d "http://lib.hebust.edu.cn/ywyfzsk/zsk/ywcd/detail/images/TRIAZOLAM.gif" \* MERGEFORMATINET </w:instrText>
      </w:r>
      <w:r>
        <w:rPr>
          <w:rFonts w:hint="default" w:ascii="Times New Roman" w:hAnsi="Times New Roman" w:eastAsia="宋体" w:cs="Times New Roman"/>
          <w:i w:val="0"/>
          <w:kern w:val="0"/>
          <w:sz w:val="18"/>
          <w:szCs w:val="18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i w:val="0"/>
          <w:kern w:val="0"/>
          <w:sz w:val="18"/>
          <w:szCs w:val="18"/>
          <w:lang w:val="en-US" w:eastAsia="zh-CN" w:bidi="ar-SA"/>
        </w:rPr>
        <w:drawing>
          <wp:inline distT="0" distB="0" distL="114300" distR="114300">
            <wp:extent cx="2533650" cy="1788795"/>
            <wp:effectExtent l="0" t="0" r="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i w:val="0"/>
          <w:kern w:val="0"/>
          <w:sz w:val="18"/>
          <w:szCs w:val="18"/>
          <w:lang w:val="en-US" w:eastAsia="zh-CN" w:bidi="ar-SA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【分 子 式】C17H12Cl2N4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【分 子 量】343.21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【收录药典】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【开发单位】Upjohn S.A. (意大利)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【首次上市】1983年，意大利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【性　　状】褐色结晶。不溶于水。 mp223~225℃。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【用　　途】催眠药。用于治疗失眠、复发性失眠、焦虑、神经紧张等症状。本品具有口服后吸收快，半衰期短等特点。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一、2-氨基-5,2'-二氯二苯酮(2)的制备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在干燥反应瓶中，加入2-氯苯甲酰氯600g(3.43mol)，加热到110℃。搅拌下加入4-氯苯胺175g(1.37mol)。升温到180℃，加入无水氯化锌230g(1.69mol)。缓缓升温至220~230℃，保持此温度反应至不再产生氯化氢为止(约1~2h)。冷却至120℃，小心与水混合，混合物加热回流。倾出上部水层，此操作重复2~3次。最后将不溶于水的褐色物质悬浮于水350ml、醋酸500ml和浓硫酸650ml的混合物中，加热回流17h。冷却后倾入冰水中，用乙醚提取。醚层用2mol/L氢氧化钠溶液洗至中性后浓缩，加入少量石油醚，得(2)的黄色结晶。用乙醚和石油醚的混合液重结晶，得(2)218.7g(60%)，mp88~89℃。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二、2-(2-溴乙酰胺基)-5,2'-二氯二苯酮(3)的制备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在反应瓶中，加入(2)26.6g(0.lmol)、乙醇和乙醚混合液500ml，分次加入溴乙酰溴26.3g(0.13mol)和冰500g，保持温度10~15℃反应至溶液黄色消失为止(约1~2h)。分离有机层，用水和冷的稀碱溶液分别洗涤，无水硫酸钠干燥，过滤，减压浓缩，剩余物用苯和己烷混合液重结晶，得无色结晶(3)34.8g(90%)，mp133~135℃。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三、2-(2-氨基乙酰胺基)-5,2'-二氯二苯酮(4)的制备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在反应瓶中，加入(3)7.7g(0.02mol)、二氯甲烷l00ml和液氨l00ml。搅拌下回流5h(干冰冷凝管)，室温下挥去氨，二氯甲烷层用水洗涤，干燥，减压浓缩，剩余物用乙醚结晶得(4)5.5g (85%)，mp122~124℃。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四、7-氯-5-(2-氯苯基)-1,3-二氢-2H-1,4-苯并二氮杂卓-2-酮(5)的制备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在反应瓶中，加入(4)16.2g(0.05mol)和吡啶200ml，回流反应16h，减压浓缩，剩余物由乙醇结晶，得(5)11.4g(75%)，mp199~201℃。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五、7-氯-5-(2-氯苯基)-1,3-二氢-2H-1,4-苯并二氮杂卓-硫酮(6)的制备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在干燥反应瓶中，加入(5)305.2g(1.0mol)和五硫化二磷242g(1.1mol)的2L无水吡啶溶液。用氯化钙干燥管防护空气中湿气，搅拌下加热回流45min，冰浴冷却后缓缓倾入5L冰冷却的氯化钠饱和溶液中。滤取沉淀，水洗，干燥，所得产物溶于二氯甲烷中，用活性氧化铝柱过滤。滤液浓缩后用石油醚结晶，乙醇重结晶，得(6)128.5g(40%)，mp251~253℃。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六、三唑仑(1)的合成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 xml:space="preserve">　　在反应瓶中，加入(6)1.0g(3.lmmol)、乙酰肼0.8g(10.8mmol)和正丁醇40ml。氮气流下加热回流24h，浓缩，剩余物与水混合后过滤，干燥，得橙色固体(7)0.9g (80%)。在氮气下加热到250℃，冷却，固体用乙酸乙酯结晶，然后用异丙醇重结晶，得褐色结晶(1)0.46g(43%)，mp223~225℃。 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【光谱数据】[9]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1H-NMR (CDCl3): δ7.63(dd, 1H, J1=4.5Hz, J2=9.5Hz, C9-H), 7.43(d, 1H, J=9.5Hz, C10-H), 7.3~7.5(m, 4H, 5-2-ClC6H4); 7.2(d, 1H, J=4.5Hz, C7-H), 5.45(d, 1H, J=13.0, C4-Ha), 4.15(d, 1H, J=13.0, C4-Hb)。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 xml:space="preserve">　　13C-NMR(CDCl3):δ167.7(C6), 154.6(C3a), 150.5(C), 138.l(C1), 133.6(C8), 132.5(C2), 131.7(C9), 131.5(C10a), 131.3(C7), 130.9(C4), 130.5(C6a), 130.2(C6'), 129.6(C3'), 127.3(C5'), 124.8(C10), 46.3(C4), 12.0(CH3)。 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rFonts w:hint="eastAsia" w:asciiTheme="majorEastAsia" w:hAnsiTheme="majorEastAsia" w:eastAsiaTheme="majorEastAsia" w:cstheme="majorEastAsia"/>
          <w:i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【其它合成路线】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详见参考文献。</w:t>
      </w:r>
    </w:p>
    <w:p>
      <w:pP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【参考文献】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〔1〕Sternbach LH et a1. J Org Chem, 1962, 27:3781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〔2〕Sternbach LH et al. ibid, 1962, 27:3788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〔3〕Sternbach LH et al. ibid, 1964, 29:230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〔4〕CS 1985, 226281(CA, 1987, 106:213985u)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〔5〕US 1976, 4000153(CA, l977, 86:140053v)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〔6〕DE 1976, 254086(CA, l976, 85:33094s)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〔7〕ES I985, 539698(CA, 1987, 106:50263r)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〔8〕US 1976, 471490(CA, 1976, 85:21490e)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〔9〕Scahill TA et al. Magn Reson Chem, 1985, 23:280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〔10〕DOF 2, 558(1977)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〔11〕DOT 15, 30(1979); 24, 458; 661(1988)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〔12〕DE 2012190(1970); 2203782(1972); 2302525(1973)</w:t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kern w:val="0"/>
          <w:sz w:val="24"/>
          <w:szCs w:val="24"/>
          <w:lang w:val="en-US" w:eastAsia="zh-CN" w:bidi="ar-SA"/>
        </w:rPr>
        <w:t>　　〔13〕US 3987052(1976)</w:t>
      </w:r>
    </w:p>
    <w:p>
      <w:pPr>
        <w:rPr>
          <w:rFonts w:hint="default" w:ascii="Times New Roman" w:hAnsi="Times New Roman" w:eastAsia="宋体" w:cs="Times New Roman"/>
          <w:i w:val="0"/>
          <w:kern w:val="0"/>
          <w:sz w:val="18"/>
          <w:szCs w:val="18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i w:val="0"/>
          <w:kern w:val="0"/>
          <w:sz w:val="18"/>
          <w:szCs w:val="18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i w:val="0"/>
          <w:kern w:val="0"/>
          <w:sz w:val="18"/>
          <w:szCs w:val="18"/>
          <w:lang w:val="en-US" w:eastAsia="zh-CN" w:bidi="ar-S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-1978660</wp:posOffset>
            </wp:positionH>
            <wp:positionV relativeFrom="paragraph">
              <wp:posOffset>1642745</wp:posOffset>
            </wp:positionV>
            <wp:extent cx="9805670" cy="4338320"/>
            <wp:effectExtent l="85090" t="36830" r="91440" b="444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340000">
                      <a:off x="0" y="0"/>
                      <a:ext cx="980567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F4DC5"/>
    <w:rsid w:val="433F4D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1159</Words>
  <Characters>2414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2016-04-24T01:15:00Z</dcterms:created>
  <dc:creator>Administrator</dc:creator>
  <cp:lastModifiedBy>Administrator</cp:lastModifiedBy>
  <dcterms:modified xsi:type="dcterms:W3CDTF">2016-04-24T01:28:44Z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