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Returns policy</w:t>
      </w:r>
    </w:p>
    <w:p>
      <w:pPr>
        <w:pStyle w:val="Heading1"/>
      </w:pPr>
      <w:r>
        <w:t>Who may return goods</w:t>
      </w:r>
    </w:p>
    <w:p>
      <w:r>
        <w:t xml:space="preserve">Members may return goods within </w:t>
      </w:r>
      <w:r>
        <w:rPr>
          <w:b/>
        </w:rPr>
        <w:t>seven days</w:t>
      </w:r>
      <w:r>
        <w:t xml:space="preserve"> of delivery; see </w:t>
      </w:r>
      <w:hyperlink r:id="rId9">
        <w:r>
          <w:t>the full terms</w:t>
        </w:r>
      </w:hyperlink>
      <w:r>
        <w:t>.</w:t>
      </w:r>
    </w:p>
    <w:p>
      <w:pPr>
        <w:pStyle w:val="ListBullet"/>
      </w:pPr>
      <w:r>
        <w:t>Unopened goods</w:t>
      </w:r>
    </w:p>
    <w:p>
      <w:pPr>
        <w:pStyle w:val="ListBullet"/>
      </w:pPr>
      <w:r>
        <w:t>Goods with their original receipt</w:t>
      </w:r>
    </w:p>
    <w:p>
      <w:pPr>
        <w:pStyle w:val="ListBullet2"/>
      </w:pPr>
      <w:r>
        <w:t>Bought online</w:t>
      </w:r>
    </w:p>
    <w:p>
      <w:pPr>
        <w:pStyle w:val="Heading2"/>
      </w:pPr>
      <w:r>
        <w:t>How to return</w:t>
      </w:r>
    </w:p>
    <w:p>
      <w:pPr>
        <w:pStyle w:val="ListNumber"/>
      </w:pPr>
      <w:r>
        <w:t>Ask for a return label in the app.</w:t>
      </w:r>
    </w:p>
    <w:p>
      <w:pPr>
        <w:pStyle w:val="ListNumber"/>
      </w:pPr>
      <w:r>
        <w:t>Pack the goods with the receipt.</w:t>
      </w:r>
    </w:p>
    <w:p>
      <w:pPr>
        <w:pStyle w:val="ListNumber"/>
      </w:pPr>
      <w:r>
        <w:t>Hand the parcel to the courier.</w:t>
      </w:r>
    </w:p>
    <w:p>
      <w:pPr>
        <w:pStyle w:val="Heading1"/>
      </w:pPr>
      <w:r>
        <w:t>Refund times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Refund within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  <w:tc>
          <w:tcPr>
            <w:tcW w:type="dxa" w:w="2880"/>
          </w:tcPr>
          <w:p>
            <w:r>
              <w:t>to the same card</w:t>
            </w:r>
          </w:p>
        </w:tc>
      </w:tr>
      <w:tr>
        <w:tc>
          <w:tcPr>
            <w:tcW w:type="dxa" w:w="2880"/>
          </w:tcPr>
          <w:p>
            <w:r>
              <w:t>Wallet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instant for gold members</w:t>
            </w:r>
          </w:p>
        </w:tc>
      </w:tr>
      <w:tr>
        <w:tc>
          <w:tcPr>
            <w:tcW w:type="dxa" w:w="2880"/>
          </w:tcPr>
          <w:p>
            <w:r>
              <w:t>Cash on delivery</w:t>
            </w:r>
          </w:p>
        </w:tc>
        <w:tc>
          <w:tcPr>
            <w:tcW w:type="dxa" w:w="2880"/>
          </w:tcPr>
          <w:p>
            <w:r>
              <w:t>7 days</w:t>
            </w:r>
          </w:p>
        </w:tc>
        <w:tc>
          <w:tcPr>
            <w:tcW w:type="dxa" w:w="2880"/>
          </w:tcPr>
          <w:p>
            <w:r>
              <w:t>by bank transfer</w:t>
            </w:r>
          </w:p>
        </w:tc>
      </w:tr>
    </w:tbl>
    <w:p>
      <w:r>
        <w:t>Fresh food cannot be returned.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