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仓库作业规范（2026 年版）</w:t>
      </w:r>
    </w:p>
    <w:p>
      <w:r>
        <w:t>本规范适用于华东区所有自营仓库，自 2026 年 4 月 1 日起执行，原 2024 年版同时废止。</w:t>
      </w:r>
    </w:p>
    <w:p>
      <w:pPr>
        <w:pStyle w:val="Heading1"/>
      </w:pPr>
      <w:r>
        <w:t>一、入库</w:t>
      </w:r>
    </w:p>
    <w:p>
      <w:r>
        <w:t>到货车辆须提前 24 小时预约，未预约车辆排在当日最后卸货。收货员按采购单逐箱扫码，差异超过 2% 时暂停收货并通知采购。</w:t>
      </w:r>
    </w:p>
    <w:p>
      <w:pPr>
        <w:pStyle w:val="ListBullet"/>
      </w:pPr>
      <w:r>
        <w:t>冷链货物到货温度须在 2℃ 至 8℃ 之间，超出范围一律拒收。</w:t>
      </w:r>
    </w:p>
    <w:p>
      <w:pPr>
        <w:pStyle w:val="ListBullet"/>
      </w:pPr>
      <w:r>
        <w:t>外包装破损的箱子单独拍照，并在系统中标记为待检。</w:t>
      </w:r>
    </w:p>
    <w:p>
      <w:pPr>
        <w:pStyle w:val="ListBullet"/>
      </w:pPr>
      <w:r>
        <w:t>危险品（如锂电池 SKU-BAT-07）须放入隔离区，由持证人员处理。</w:t>
      </w:r>
    </w:p>
    <w:p>
      <w:pPr>
        <w:pStyle w:val="Heading1"/>
      </w:pPr>
      <w:r>
        <w:t>二、库存与盘点</w:t>
      </w:r>
    </w:p>
    <w:p>
      <w:r>
        <w:t>每月最后一个周日进行全盘，每周三对 A 类货物抽盘。盘点差异的处理标准如下表。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货物类别</w:t>
            </w:r>
          </w:p>
        </w:tc>
        <w:tc>
          <w:tcPr>
            <w:tcW w:type="dxa" w:w="2160"/>
          </w:tcPr>
          <w:p>
            <w:r>
              <w:t>允许差异</w:t>
            </w:r>
          </w:p>
        </w:tc>
        <w:tc>
          <w:tcPr>
            <w:tcW w:type="dxa" w:w="2160"/>
          </w:tcPr>
          <w:p>
            <w:r>
              <w:t>处理时限</w:t>
            </w:r>
          </w:p>
        </w:tc>
        <w:tc>
          <w:tcPr>
            <w:tcW w:type="dxa" w:w="2160"/>
          </w:tcPr>
          <w:p>
            <w:r>
              <w:t>审批人</w:t>
            </w:r>
          </w:p>
        </w:tc>
      </w:tr>
      <w:tr>
        <w:tc>
          <w:tcPr>
            <w:tcW w:type="dxa" w:w="2160"/>
          </w:tcPr>
          <w:p>
            <w:r>
              <w:t>A 类（高价值）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当日</w:t>
            </w:r>
          </w:p>
        </w:tc>
        <w:tc>
          <w:tcPr>
            <w:tcW w:type="dxa" w:w="2160"/>
          </w:tcPr>
          <w:p>
            <w:r>
              <w:t>仓库经理</w:t>
            </w:r>
          </w:p>
        </w:tc>
      </w:tr>
      <w:tr>
        <w:tc>
          <w:tcPr>
            <w:tcW w:type="dxa" w:w="2160"/>
          </w:tcPr>
          <w:p>
            <w:r>
              <w:t>B 类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3 个工作日</w:t>
            </w:r>
          </w:p>
        </w:tc>
        <w:tc>
          <w:tcPr>
            <w:tcW w:type="dxa" w:w="2160"/>
          </w:tcPr>
          <w:p>
            <w:r>
              <w:t>主管</w:t>
            </w:r>
          </w:p>
        </w:tc>
      </w:tr>
      <w:tr>
        <w:tc>
          <w:tcPr>
            <w:tcW w:type="dxa" w:w="2160"/>
          </w:tcPr>
          <w:p>
            <w:r>
              <w:t>C 类</w:t>
            </w:r>
          </w:p>
        </w:tc>
        <w:tc>
          <w:tcPr>
            <w:tcW w:type="dxa" w:w="2160"/>
          </w:tcPr>
          <w:p>
            <w:r>
              <w:t>1%</w:t>
            </w:r>
          </w:p>
        </w:tc>
        <w:tc>
          <w:tcPr>
            <w:tcW w:type="dxa" w:w="2160"/>
          </w:tcPr>
          <w:p>
            <w:r>
              <w:t>7 个工作日</w:t>
            </w:r>
          </w:p>
        </w:tc>
        <w:tc>
          <w:tcPr>
            <w:tcW w:type="dxa" w:w="2160"/>
          </w:tcPr>
          <w:p>
            <w:r>
              <w:t>组长</w:t>
            </w:r>
          </w:p>
        </w:tc>
      </w:tr>
    </w:tbl>
    <w:p>
      <w:pPr>
        <w:pStyle w:val="Heading2"/>
      </w:pPr>
      <w:r>
        <w:t>2.1 呆滞库存</w:t>
      </w:r>
    </w:p>
    <w:p>
      <w:r>
        <w:t>连续 90 天无出库的货物视为呆滞库存，由计划部每月 5 日前出具处理方案；单个 SKU 金额超过 5 万元的，须报区域总监审批。</w:t>
      </w:r>
    </w:p>
    <w:p>
      <w:r>
        <w:br w:type="page"/>
      </w:r>
    </w:p>
    <w:p>
      <w:pPr>
        <w:pStyle w:val="Heading1"/>
      </w:pPr>
      <w:r>
        <w:t>三、出库与配送</w:t>
      </w:r>
    </w:p>
    <w:p>
      <w:r>
        <w:t>订单在 15:00 前确认的当日发出，之后确认的次日发出。大件商品（单件超过 30 公斤）由合作承运商上门提货。</w:t>
      </w:r>
    </w:p>
    <w:p>
      <w:pPr>
        <w:pStyle w:val="ListNumber"/>
      </w:pPr>
      <w:r>
        <w:t>拣货完成后须二次复核，复核人与拣货人不得为同一人。</w:t>
      </w:r>
    </w:p>
    <w:p>
      <w:pPr>
        <w:pStyle w:val="ListNumber"/>
      </w:pPr>
      <w:r>
        <w:t>出库单打印后 30 分钟内未装车的，须重新扫码确认。</w:t>
      </w:r>
    </w:p>
    <w:p>
      <w:pPr>
        <w:pStyle w:val="ListNumber"/>
      </w:pPr>
      <w:r>
        <w:t>跨境订单须附中英文装箱单（Packing List）。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重量区间</w:t>
            </w:r>
          </w:p>
        </w:tc>
        <w:tc>
          <w:tcPr>
            <w:tcW w:type="dxa" w:w="2880"/>
          </w:tcPr>
          <w:p>
            <w:r>
              <w:t>承运商</w:t>
            </w:r>
          </w:p>
        </w:tc>
        <w:tc>
          <w:tcPr>
            <w:tcW w:type="dxa" w:w="2880"/>
          </w:tcPr>
          <w:p>
            <w:r>
              <w:t>费用（元/单）</w:t>
            </w:r>
          </w:p>
        </w:tc>
      </w:tr>
      <w:tr>
        <w:tc>
          <w:tcPr>
            <w:tcW w:type="dxa" w:w="2880"/>
          </w:tcPr>
          <w:p>
            <w:r>
              <w:t>30 公斤以下</w:t>
            </w:r>
          </w:p>
        </w:tc>
        <w:tc>
          <w:tcPr>
            <w:tcW w:type="dxa" w:w="2880"/>
          </w:tcPr>
          <w:p>
            <w:r>
              <w:t>顺达快运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30 至 70 公斤</w:t>
            </w:r>
          </w:p>
        </w:tc>
        <w:tc>
          <w:tcPr>
            <w:tcW w:type="dxa" w:w="2880"/>
          </w:tcPr>
          <w:p>
            <w:r>
              <w:t>重货通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70 公斤以上</w:t>
            </w:r>
          </w:p>
        </w:tc>
        <w:tc>
          <w:tcPr>
            <w:tcW w:type="dxa" w:w="2880"/>
          </w:tcPr>
          <w:p>
            <w:r>
              <w:t>重货通（双人）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</w:tbl>
    <w:p>
      <w:pPr>
        <w:pStyle w:val="Heading1"/>
      </w:pPr>
      <w:r>
        <w:t>四、安全</w:t>
      </w:r>
    </w:p>
    <w:p>
      <w:r>
        <w:t>叉车须持证驾驶，库内限速每小时 5 公里。发生事故后 1 小时内上报安全员，并在系统中填写事故单。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仓库作业规范 第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华东仓储有限公司 内部资料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