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120" w:after="120"/>
        <w:rPr>
          <w:sz w:val="32"/>
          <w:szCs w:val="32"/>
        </w:rPr>
      </w:pPr>
      <w:r>
        <w:rPr>
          <w:sz w:val="32"/>
          <w:szCs w:val="32"/>
        </w:rPr>
        <w:t>Описание стандартных элементов ПК</w:t>
      </w:r>
    </w:p>
    <w:p>
      <w:pPr>
        <w:pStyle w:val="Heading2"/>
        <w:numPr>
          <w:ilvl w:val="1"/>
          <w:numId w:val="2"/>
        </w:numPr>
        <w:spacing w:lineRule="auto" w:line="360" w:before="0" w:after="0"/>
        <w:ind w:left="0" w:hanging="0"/>
        <w:rPr>
          <w:rFonts w:ascii="Times New Roman" w:hAnsi="Times New Roman"/>
        </w:rPr>
      </w:pPr>
      <w:r>
        <w:rPr>
          <w:rFonts w:cs="Times New Roman" w:ascii="Times New Roman" w:hAnsi="Times New Roman"/>
        </w:rPr>
        <w:t>Состав приложений</w:t>
      </w:r>
    </w:p>
    <w:p>
      <w:pPr>
        <w:pStyle w:val="Normal"/>
        <w:rPr/>
      </w:pPr>
      <w:r>
        <w:rPr/>
        <w:t>ПК состоит из модульного веб-приложения, предоставляющего доступ к:</w:t>
      </w:r>
    </w:p>
    <w:p>
      <w:pPr>
        <w:pStyle w:val="Normal"/>
        <w:numPr>
          <w:ilvl w:val="0"/>
          <w:numId w:val="4"/>
        </w:numPr>
        <w:tabs>
          <w:tab w:val="clear" w:pos="708"/>
          <w:tab w:val="left" w:pos="1134" w:leader="none"/>
        </w:tabs>
        <w:ind w:left="1134" w:hanging="425"/>
        <w:rPr/>
      </w:pPr>
      <w:r>
        <w:rPr/>
        <w:t>созданию и управлению проектами и задачами;</w:t>
      </w:r>
    </w:p>
    <w:p>
      <w:pPr>
        <w:pStyle w:val="Normal"/>
        <w:numPr>
          <w:ilvl w:val="0"/>
          <w:numId w:val="4"/>
        </w:numPr>
        <w:tabs>
          <w:tab w:val="clear" w:pos="708"/>
          <w:tab w:val="left" w:pos="1134" w:leader="none"/>
        </w:tabs>
        <w:ind w:left="1134" w:hanging="425"/>
        <w:rPr/>
      </w:pPr>
      <w:r>
        <w:rPr/>
        <w:t>формированию релизов;</w:t>
      </w:r>
    </w:p>
    <w:p>
      <w:pPr>
        <w:pStyle w:val="Normal"/>
        <w:numPr>
          <w:ilvl w:val="0"/>
          <w:numId w:val="4"/>
        </w:numPr>
        <w:tabs>
          <w:tab w:val="clear" w:pos="708"/>
          <w:tab w:val="left" w:pos="1134" w:leader="none"/>
        </w:tabs>
        <w:ind w:left="1134" w:hanging="425"/>
        <w:rPr/>
      </w:pPr>
      <w:r>
        <w:rPr/>
        <w:t>управлению пользователями системы.</w:t>
      </w:r>
    </w:p>
    <w:p>
      <w:pPr>
        <w:pStyle w:val="Normal"/>
        <w:rPr/>
      </w:pPr>
      <w:r>
        <w:rPr/>
        <w:t>Данные возможности реализуются наборами модулей, являющихся отдельными экранами веб-приложения.</w:t>
      </w:r>
    </w:p>
    <w:p>
      <w:pPr>
        <w:pStyle w:val="Heading2"/>
        <w:numPr>
          <w:ilvl w:val="1"/>
          <w:numId w:val="2"/>
        </w:numPr>
        <w:spacing w:lineRule="auto" w:line="360" w:before="0" w:after="0"/>
        <w:ind w:left="0" w:hanging="0"/>
        <w:rPr>
          <w:rFonts w:ascii="Times New Roman" w:hAnsi="Times New Roman"/>
        </w:rPr>
      </w:pPr>
      <w:r>
        <w:rPr>
          <w:rFonts w:cs="Times New Roman" w:ascii="Times New Roman" w:hAnsi="Times New Roman"/>
        </w:rPr>
        <w:t>Модули ПК</w:t>
      </w:r>
    </w:p>
    <w:p>
      <w:pPr>
        <w:pStyle w:val="Normal"/>
        <w:spacing w:lineRule="auto" w:line="360" w:before="0" w:after="0"/>
        <w:rPr/>
      </w:pPr>
      <w:r>
        <w:rPr/>
        <w:t>По функциональному назначению все модули системы можно разделить на 3 типа:</w:t>
      </w:r>
    </w:p>
    <w:p>
      <w:pPr>
        <w:pStyle w:val="Normal"/>
        <w:numPr>
          <w:ilvl w:val="0"/>
          <w:numId w:val="3"/>
        </w:numPr>
        <w:tabs>
          <w:tab w:val="clear" w:pos="708"/>
          <w:tab w:val="left" w:pos="1080" w:leader="none"/>
        </w:tabs>
        <w:spacing w:lineRule="auto" w:line="360" w:before="0" w:after="0"/>
        <w:ind w:left="1080" w:hanging="360"/>
        <w:rPr/>
      </w:pPr>
      <w:r>
        <w:rPr/>
        <w:t>Модули ввода информации, необходимой для настройки системы управления объектами применения системы;</w:t>
      </w:r>
    </w:p>
    <w:p>
      <w:pPr>
        <w:pStyle w:val="Normal"/>
        <w:numPr>
          <w:ilvl w:val="0"/>
          <w:numId w:val="3"/>
        </w:numPr>
        <w:tabs>
          <w:tab w:val="clear" w:pos="708"/>
          <w:tab w:val="left" w:pos="1080" w:leader="none"/>
        </w:tabs>
        <w:spacing w:lineRule="auto" w:line="360" w:before="0" w:after="0"/>
        <w:ind w:left="1080" w:hanging="360"/>
        <w:rPr/>
      </w:pPr>
      <w:r>
        <w:rPr/>
        <w:t>Модули просмотра информации;</w:t>
      </w:r>
    </w:p>
    <w:p>
      <w:pPr>
        <w:pStyle w:val="Normal"/>
        <w:numPr>
          <w:ilvl w:val="0"/>
          <w:numId w:val="3"/>
        </w:numPr>
        <w:tabs>
          <w:tab w:val="clear" w:pos="708"/>
          <w:tab w:val="left" w:pos="1080" w:leader="none"/>
        </w:tabs>
        <w:spacing w:lineRule="auto" w:line="360" w:before="0" w:after="0"/>
        <w:ind w:left="1080" w:hanging="360"/>
        <w:rPr/>
      </w:pPr>
      <w:r>
        <w:rPr/>
        <w:t>Модуль авторизации.</w:t>
      </w:r>
    </w:p>
    <w:p>
      <w:pPr>
        <w:pStyle w:val="Heading2"/>
        <w:numPr>
          <w:ilvl w:val="1"/>
          <w:numId w:val="2"/>
        </w:numPr>
        <w:spacing w:lineRule="auto" w:line="360" w:before="0" w:after="0"/>
        <w:ind w:left="0" w:hanging="0"/>
        <w:rPr>
          <w:rFonts w:ascii="Times New Roman" w:hAnsi="Times New Roman"/>
        </w:rPr>
      </w:pPr>
      <w:r>
        <w:rPr>
          <w:rFonts w:cs="Times New Roman" w:ascii="Times New Roman" w:hAnsi="Times New Roman"/>
        </w:rPr>
        <w:t>Формы ввода и просмотра информации ПК</w:t>
      </w:r>
    </w:p>
    <w:p>
      <w:pPr>
        <w:pStyle w:val="Normal"/>
        <w:spacing w:lineRule="auto" w:line="360" w:before="0" w:after="0"/>
        <w:rPr/>
      </w:pPr>
      <w:r>
        <w:rPr/>
        <w:t>В системе используется несколько типов форм ввода и просмотра информации:;</w:t>
      </w:r>
    </w:p>
    <w:p>
      <w:pPr>
        <w:pStyle w:val="Normal"/>
        <w:numPr>
          <w:ilvl w:val="0"/>
          <w:numId w:val="5"/>
        </w:numPr>
        <w:spacing w:lineRule="auto" w:line="360" w:before="0" w:after="0"/>
        <w:rPr/>
      </w:pPr>
      <w:r>
        <w:rPr/>
        <w:t>Формы просмотра  информации в табличном виде. Экранная форма содержит одну таблицу;</w:t>
      </w:r>
    </w:p>
    <w:p>
      <w:pPr>
        <w:pStyle w:val="Normal"/>
        <w:numPr>
          <w:ilvl w:val="0"/>
          <w:numId w:val="5"/>
        </w:numPr>
        <w:spacing w:lineRule="auto" w:line="360" w:before="0" w:after="0"/>
        <w:rPr/>
      </w:pPr>
      <w:r>
        <w:rPr/>
        <w:t>Формы просмотра, ввода и редактирования информации в карточном виде; элементы карточки организованы в одну или несколько колонок в зависимости от типов и форматов информации и элементов управления;</w:t>
      </w:r>
    </w:p>
    <w:p>
      <w:pPr>
        <w:pStyle w:val="Normal"/>
        <w:numPr>
          <w:ilvl w:val="0"/>
          <w:numId w:val="5"/>
        </w:numPr>
        <w:spacing w:lineRule="auto" w:line="360" w:before="0" w:after="0"/>
        <w:rPr/>
      </w:pPr>
      <w:r>
        <w:rPr/>
        <w:t>Форма доски, содержащая визуальное представление статуса задач и элементы интерактивного управления статусом</w:t>
      </w:r>
    </w:p>
    <w:p>
      <w:pPr>
        <w:pStyle w:val="Heading2"/>
        <w:numPr>
          <w:ilvl w:val="1"/>
          <w:numId w:val="2"/>
        </w:numPr>
        <w:spacing w:lineRule="auto" w:line="360" w:before="0" w:after="0"/>
        <w:ind w:left="0" w:hanging="0"/>
        <w:rPr>
          <w:rFonts w:ascii="Times New Roman" w:hAnsi="Times New Roman"/>
        </w:rPr>
      </w:pPr>
      <w:r>
        <w:rPr>
          <w:rFonts w:cs="Times New Roman" w:ascii="Times New Roman" w:hAnsi="Times New Roman"/>
        </w:rPr>
        <w:t>Панели управления</w:t>
      </w:r>
    </w:p>
    <w:p>
      <w:pPr>
        <w:pStyle w:val="Normal"/>
        <w:rPr/>
      </w:pPr>
      <w:r>
        <w:rPr/>
        <w:t>Формы ПК снабжены панелями управления.</w:t>
      </w:r>
    </w:p>
    <w:p>
      <w:pPr>
        <w:pStyle w:val="BodyTextIndent2"/>
        <w:rPr/>
      </w:pPr>
      <w:r>
        <w:rPr/>
        <w:t>Ниже приведены назначение и пиктограммы управляющих кнопок, используемых различных экранных формах.</w:t>
      </w:r>
    </w:p>
    <w:p>
      <w:pPr>
        <w:pStyle w:val="BodyTextIndent2"/>
        <w:rPr/>
      </w:pPr>
      <w:r>
        <w:rPr/>
      </w:r>
    </w:p>
    <w:tbl>
      <w:tblPr>
        <w:tblW w:w="9750" w:type="dxa"/>
        <w:jc w:val="left"/>
        <w:tblInd w:w="-5" w:type="dxa"/>
        <w:tblLayout w:type="fixed"/>
        <w:tblCellMar>
          <w:top w:w="0" w:type="dxa"/>
          <w:left w:w="95" w:type="dxa"/>
          <w:bottom w:w="0" w:type="dxa"/>
          <w:right w:w="95" w:type="dxa"/>
        </w:tblCellMar>
        <w:tblLook w:val="0000" w:noHBand="0" w:noVBand="0" w:firstColumn="0" w:lastRow="0" w:lastColumn="0" w:firstRow="0"/>
      </w:tblPr>
      <w:tblGrid>
        <w:gridCol w:w="6749"/>
        <w:gridCol w:w="3000"/>
      </w:tblGrid>
      <w:tr>
        <w:trPr/>
        <w:tc>
          <w:tcPr>
            <w:tcW w:w="6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"/>
              <w:widowControl w:val="false"/>
              <w:spacing w:before="120" w:after="120"/>
              <w:rPr/>
            </w:pPr>
            <w:r>
              <w:rPr/>
              <w:t>Перейти к управлению проектами и задачами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"/>
              <w:widowControl w:val="false"/>
              <w:spacing w:before="120" w:after="120"/>
              <w:rPr/>
            </w:pPr>
            <w:r>
              <w:rPr/>
              <w:drawing>
                <wp:inline distT="0" distB="0" distL="0" distR="0">
                  <wp:extent cx="171450" cy="171450"/>
                  <wp:effectExtent l="0" t="0" r="0" b="0"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154" t="-185" r="-154" b="-18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ab/>
              <w:t>/Задачи/</w:t>
            </w:r>
          </w:p>
        </w:tc>
      </w:tr>
      <w:tr>
        <w:trPr/>
        <w:tc>
          <w:tcPr>
            <w:tcW w:w="6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"/>
              <w:widowControl w:val="false"/>
              <w:spacing w:before="120" w:after="120"/>
              <w:rPr/>
            </w:pPr>
            <w:r>
              <w:rPr/>
              <w:t>Перейти к управлению релизами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"/>
              <w:widowControl w:val="false"/>
              <w:spacing w:before="120" w:after="120"/>
              <w:rPr/>
            </w:pPr>
            <w:r>
              <w:rPr/>
              <w:drawing>
                <wp:inline distT="0" distB="0" distL="0" distR="0">
                  <wp:extent cx="171450" cy="171450"/>
                  <wp:effectExtent l="0" t="0" r="0" b="0"/>
                  <wp:docPr id="2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rcRect l="-168" t="-199" r="-168" b="-19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ab/>
              <w:t>/Релизы/</w:t>
            </w:r>
          </w:p>
        </w:tc>
      </w:tr>
      <w:tr>
        <w:trPr/>
        <w:tc>
          <w:tcPr>
            <w:tcW w:w="6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"/>
              <w:widowControl w:val="false"/>
              <w:spacing w:before="120" w:after="120"/>
              <w:rPr/>
            </w:pPr>
            <w:r>
              <w:rPr/>
              <w:t>Перейти к настройкам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"/>
              <w:widowControl w:val="false"/>
              <w:spacing w:before="120" w:after="120"/>
              <w:rPr/>
            </w:pPr>
            <w:r>
              <w:rPr/>
              <w:drawing>
                <wp:inline distT="0" distB="0" distL="0" distR="0">
                  <wp:extent cx="171450" cy="171450"/>
                  <wp:effectExtent l="0" t="0" r="0" b="0"/>
                  <wp:docPr id="3" name="Image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 l="-194" t="-194" r="-194" b="-19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en-US"/>
              </w:rPr>
              <w:tab/>
              <w:t>/Настройки/</w:t>
            </w:r>
          </w:p>
        </w:tc>
      </w:tr>
      <w:tr>
        <w:trPr>
          <w:trHeight w:val="337" w:hRule="atLeast"/>
          <w:cantSplit w:val="true"/>
        </w:trPr>
        <w:tc>
          <w:tcPr>
            <w:tcW w:w="6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"/>
              <w:widowControl w:val="false"/>
              <w:spacing w:before="120" w:after="120"/>
              <w:rPr/>
            </w:pPr>
            <w:r>
              <w:rPr/>
              <w:t>Управление текущей сессией пользователя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"/>
              <w:widowControl w:val="false"/>
              <w:spacing w:before="120" w:after="120"/>
              <w:rPr/>
            </w:pPr>
            <w:r>
              <w:rPr/>
              <w:drawing>
                <wp:inline distT="0" distB="0" distL="0" distR="0">
                  <wp:extent cx="152400" cy="152400"/>
                  <wp:effectExtent l="0" t="0" r="0" b="0"/>
                  <wp:docPr id="4" name="Image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 l="-154" t="-161" r="-154" b="-16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en-US"/>
              </w:rPr>
              <w:tab/>
              <w:t>/Имя пользователя/</w:t>
            </w:r>
          </w:p>
        </w:tc>
      </w:tr>
    </w:tbl>
    <w:p>
      <w:pPr>
        <w:pStyle w:val="Heading1"/>
        <w:numPr>
          <w:ilvl w:val="0"/>
          <w:numId w:val="0"/>
        </w:numPr>
        <w:ind w:left="0" w:hanging="0"/>
        <w:rPr>
          <w:sz w:val="32"/>
          <w:szCs w:val="32"/>
        </w:rPr>
      </w:pPr>
      <w:r>
        <w:rPr>
          <w:sz w:val="32"/>
          <w:szCs w:val="32"/>
        </w:rPr>
        <w:t>Вход в систему</w:t>
      </w:r>
    </w:p>
    <w:p>
      <w:pPr>
        <w:pStyle w:val="Heading2"/>
        <w:numPr>
          <w:ilvl w:val="1"/>
          <w:numId w:val="2"/>
        </w:numPr>
        <w:spacing w:lineRule="auto" w:line="360" w:before="0" w:after="0"/>
        <w:ind w:left="0" w:hanging="0"/>
        <w:rPr>
          <w:rFonts w:ascii="Times New Roman" w:hAnsi="Times New Roman"/>
        </w:rPr>
      </w:pPr>
      <w:r>
        <w:rPr>
          <w:rFonts w:cs="Times New Roman" w:ascii="Times New Roman" w:hAnsi="Times New Roman"/>
        </w:rPr>
        <w:t>Экран входа в систему</w:t>
      </w:r>
    </w:p>
    <w:p>
      <w:pPr>
        <w:pStyle w:val="Normal"/>
        <w:rPr/>
      </w:pPr>
      <w:r>
        <w:rPr/>
        <w:t>Приложение доступно по адресу, сконфигурированному в настройках сервера. Для получения адреса следует обратиться к администратору. Для использования приложения следует использовать современный веб-браузер, такой как Google Chrome/Chromium 85 и выше, Mozilla Firefox 78 и выше или Apple Safari 14 и выше, в версиях для рабочего стола.</w:t>
      </w:r>
    </w:p>
    <w:p>
      <w:pPr>
        <w:pStyle w:val="Normal"/>
        <w:rPr/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401060"/>
            <wp:effectExtent l="0" t="0" r="0" b="0"/>
            <wp:wrapTopAndBottom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01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</w:t>
      </w:r>
      <w:r>
        <w:rPr/>
        <w:t>ис.1</w:t>
      </w:r>
      <w:bookmarkStart w:id="0" w:name="_GoBack"/>
      <w:bookmarkEnd w:id="0"/>
      <w:r>
        <w:rPr/>
        <w:t>. Экран входа в приложение</w:t>
      </w:r>
    </w:p>
    <w:p>
      <w:pPr>
        <w:pStyle w:val="Heading1"/>
        <w:numPr>
          <w:ilvl w:val="0"/>
          <w:numId w:val="0"/>
        </w:numPr>
        <w:ind w:left="0" w:hanging="0"/>
        <w:rPr>
          <w:sz w:val="32"/>
          <w:szCs w:val="32"/>
        </w:rPr>
      </w:pPr>
      <w:r>
        <w:rPr>
          <w:sz w:val="32"/>
          <w:szCs w:val="32"/>
        </w:rPr>
        <w:t>Управление пользователями</w:t>
      </w:r>
    </w:p>
    <w:p>
      <w:pPr>
        <w:pStyle w:val="Heading2"/>
        <w:numPr>
          <w:ilvl w:val="1"/>
          <w:numId w:val="2"/>
        </w:numPr>
        <w:spacing w:lineRule="auto" w:line="360" w:before="0" w:after="0"/>
        <w:ind w:left="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Таблица пользователей</w:t>
      </w:r>
    </w:p>
    <w:p>
      <w:pPr>
        <w:pStyle w:val="Normal"/>
        <w:spacing w:lineRule="auto" w:line="360" w:before="0" w:after="0"/>
        <w:ind w:hanging="0"/>
        <w:jc w:val="center"/>
        <w:rPr/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943350"/>
            <wp:effectExtent l="0" t="0" r="0" b="0"/>
            <wp:wrapSquare wrapText="largest"/>
            <wp:docPr id="6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</w:t>
      </w:r>
      <w:r>
        <w:rPr/>
        <w:t>ис.5.1-11. Экран таблицы пользователей.</w:t>
      </w:r>
    </w:p>
    <w:p>
      <w:pPr>
        <w:pStyle w:val="Heading2"/>
        <w:numPr>
          <w:ilvl w:val="1"/>
          <w:numId w:val="2"/>
        </w:numPr>
        <w:spacing w:lineRule="auto" w:line="360" w:before="0" w:after="0"/>
        <w:ind w:left="0" w:hanging="0"/>
        <w:jc w:val="lef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Экран добалвления пользователя</w:t>
      </w:r>
    </w:p>
    <w:p>
      <w:pPr>
        <w:pStyle w:val="Normal"/>
        <w:spacing w:lineRule="auto" w:line="360" w:before="0" w:after="0"/>
        <w:ind w:hanging="0"/>
        <w:jc w:val="left"/>
        <w:rPr>
          <w:b/>
          <w:b/>
          <w:bCs/>
          <w:i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0</wp:posOffset>
            </wp:positionH>
            <wp:positionV relativeFrom="paragraph">
              <wp:posOffset>-15875</wp:posOffset>
            </wp:positionV>
            <wp:extent cx="5940425" cy="2463800"/>
            <wp:effectExtent l="0" t="0" r="0" b="0"/>
            <wp:wrapTopAndBottom/>
            <wp:docPr id="7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0" t="13548" r="0" b="240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ind w:hanging="0"/>
        <w:jc w:val="center"/>
        <w:rPr/>
      </w:pPr>
      <w:r>
        <w:rPr/>
        <w:t>Рис.5.1-12. Экран добавления пользователей.</w:t>
      </w:r>
    </w:p>
    <w:p>
      <w:pPr>
        <w:pStyle w:val="Heading2"/>
        <w:numPr>
          <w:ilvl w:val="1"/>
          <w:numId w:val="2"/>
        </w:numPr>
        <w:spacing w:lineRule="auto" w:line="360" w:before="0" w:after="0"/>
        <w:ind w:left="0" w:hanging="0"/>
        <w:jc w:val="lef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Экран редактирования пользователя</w:t>
      </w:r>
    </w:p>
    <w:p>
      <w:pPr>
        <w:pStyle w:val="Normal"/>
        <w:spacing w:lineRule="auto" w:line="360" w:before="0" w:after="0"/>
        <w:ind w:hanging="0"/>
        <w:jc w:val="left"/>
        <w:rPr>
          <w:b/>
          <w:b/>
          <w:bCs/>
          <w:i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922395"/>
            <wp:effectExtent l="0" t="0" r="0" b="0"/>
            <wp:wrapSquare wrapText="largest"/>
            <wp:docPr id="8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22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ind w:hanging="0"/>
        <w:jc w:val="center"/>
        <w:rPr/>
      </w:pPr>
      <w:r>
        <w:rPr/>
        <w:t>Рис.5.1-13. Экран редактирования информации и прав пользователя.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numPr>
          <w:ilvl w:val="0"/>
          <w:numId w:val="0"/>
        </w:numPr>
        <w:ind w:left="0" w:hanging="0"/>
        <w:rPr>
          <w:rFonts w:ascii="Times New Roman" w:hAnsi="Times New Roman" w:eastAsia="Times New Roman" w:cs="Times New Roman"/>
          <w:b/>
          <w:b/>
          <w:bCs/>
          <w:color w:val="000000"/>
          <w:sz w:val="32"/>
          <w:szCs w:val="32"/>
          <w:lang w:eastAsia="zh-CN"/>
        </w:rPr>
      </w:pPr>
      <w:r>
        <w:rPr>
          <w:rFonts w:eastAsia="Times New Roman" w:cs="Times New Roman"/>
          <w:b/>
          <w:bCs/>
          <w:color w:val="000000"/>
          <w:sz w:val="32"/>
          <w:szCs w:val="32"/>
          <w:lang w:eastAsia="zh-CN"/>
        </w:rPr>
        <w:t>Техническое обслуживание</w:t>
      </w:r>
    </w:p>
    <w:p>
      <w:pPr>
        <w:pStyle w:val="Heading2"/>
        <w:numPr>
          <w:ilvl w:val="1"/>
          <w:numId w:val="2"/>
        </w:numPr>
        <w:spacing w:lineRule="auto" w:line="360" w:before="0" w:after="0"/>
        <w:ind w:left="0" w:hanging="0"/>
        <w:jc w:val="left"/>
        <w:rPr>
          <w:rFonts w:ascii="Times New Roman" w:hAnsi="Times New Roman" w:eastAsia="Times New Roman" w:cs="Times New Roman"/>
          <w:b/>
          <w:b/>
          <w:bCs/>
          <w:i/>
          <w:i/>
          <w:iCs/>
          <w:color w:val="000000"/>
          <w:sz w:val="32"/>
          <w:szCs w:val="32"/>
          <w:lang w:eastAsia="zh-CN"/>
        </w:rPr>
      </w:pPr>
      <w:r>
        <w:rPr>
          <w:rFonts w:eastAsia="Times New Roman" w:cs="Times New Roman" w:ascii="Times New Roman" w:hAnsi="Times New Roman"/>
          <w:b/>
          <w:bCs/>
          <w:i/>
          <w:iCs/>
          <w:color w:val="000000"/>
          <w:sz w:val="32"/>
          <w:szCs w:val="32"/>
          <w:lang w:eastAsia="zh-CN"/>
        </w:rPr>
        <w:t>Обслуживание СУБД</w:t>
      </w:r>
    </w:p>
    <w:p>
      <w:pPr>
        <w:pStyle w:val="Normal"/>
        <w:spacing w:lineRule="auto" w:line="360" w:before="0" w:after="0"/>
        <w:ind w:left="0" w:hanging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eastAsia="Times New Roman" w:cs="Times New Roman"/>
          <w:b w:val="false"/>
          <w:bCs w:val="false"/>
          <w:i w:val="false"/>
          <w:iCs w:val="false"/>
          <w:color w:val="000000"/>
          <w:sz w:val="24"/>
          <w:szCs w:val="24"/>
          <w:lang w:eastAsia="zh-CN"/>
        </w:rPr>
        <w:t>В системе используется СУБД Postgresql 11. Для администрирования с localhost доступен стандартный интерфейс на порту 5432. Документация администратора доступна по ссылкам ниже:</w:t>
      </w:r>
    </w:p>
    <w:p>
      <w:pPr>
        <w:pStyle w:val="Normal"/>
        <w:numPr>
          <w:ilvl w:val="0"/>
          <w:numId w:val="6"/>
        </w:numPr>
        <w:spacing w:lineRule="auto" w:line="360" w:before="0" w:after="0"/>
        <w:jc w:val="left"/>
        <w:rPr/>
      </w:pPr>
      <w:hyperlink r:id="rId10">
        <w:r>
          <w:rPr>
            <w:rStyle w:val="InternetLink"/>
            <w:b w:val="false"/>
            <w:bCs w:val="false"/>
            <w:i w:val="false"/>
            <w:iCs w:val="false"/>
            <w:sz w:val="24"/>
            <w:szCs w:val="24"/>
          </w:rPr>
          <w:t>https://postgrespro.ru/doc.../index</w:t>
        </w:r>
      </w:hyperlink>
      <w:r>
        <w:rPr>
          <w:b w:val="false"/>
          <w:bCs w:val="false"/>
          <w:i w:val="false"/>
          <w:iCs w:val="false"/>
          <w:sz w:val="24"/>
          <w:szCs w:val="24"/>
        </w:rPr>
        <w:t xml:space="preserve"> рус., перевод компании «Постгрес Профессиональный»</w:t>
      </w:r>
    </w:p>
    <w:p>
      <w:pPr>
        <w:pStyle w:val="Normal"/>
        <w:numPr>
          <w:ilvl w:val="0"/>
          <w:numId w:val="6"/>
        </w:numPr>
        <w:spacing w:lineRule="auto" w:line="360" w:before="0" w:after="0"/>
        <w:jc w:val="left"/>
        <w:rPr/>
      </w:pPr>
      <w:hyperlink r:id="rId11">
        <w:r>
          <w:rPr>
            <w:rStyle w:val="InternetLink"/>
          </w:rPr>
          <w:t>https://www.postgresql.org/...html</w:t>
        </w:r>
      </w:hyperlink>
      <w:r>
        <w:rPr/>
        <w:t xml:space="preserve"> англ., официальная документация</w:t>
      </w:r>
    </w:p>
    <w:p>
      <w:pPr>
        <w:pStyle w:val="Heading2"/>
        <w:numPr>
          <w:ilvl w:val="1"/>
          <w:numId w:val="2"/>
        </w:numPr>
        <w:spacing w:lineRule="auto" w:line="360" w:before="0" w:after="0"/>
        <w:ind w:left="0" w:hanging="0"/>
        <w:jc w:val="left"/>
        <w:rPr/>
      </w:pPr>
      <w:r>
        <w:rPr>
          <w:rFonts w:eastAsia="Times New Roman" w:cs="Times New Roman" w:ascii="Times New Roman" w:hAnsi="Times New Roman"/>
          <w:b/>
          <w:bCs/>
          <w:i/>
          <w:iCs/>
          <w:color w:val="000000"/>
          <w:sz w:val="32"/>
          <w:szCs w:val="32"/>
          <w:lang w:eastAsia="zh-CN"/>
        </w:rPr>
        <w:t>Обслуживание сервера приложения</w:t>
      </w:r>
    </w:p>
    <w:p>
      <w:pPr>
        <w:pStyle w:val="Normal"/>
        <w:spacing w:lineRule="auto" w:line="360" w:before="0" w:after="0"/>
        <w:ind w:left="0" w:hanging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eastAsia="Times New Roman" w:cs="Times New Roman"/>
          <w:b w:val="false"/>
          <w:bCs w:val="false"/>
          <w:i w:val="false"/>
          <w:iCs w:val="false"/>
          <w:color w:val="000000"/>
          <w:sz w:val="24"/>
          <w:szCs w:val="24"/>
          <w:lang w:eastAsia="zh-CN"/>
        </w:rPr>
        <w:t>Приложение реализовано с использованием технологий Java и использует среду исполнения OpenJDK 11. Документация по среде исполнения доступна по ссылке ниже:</w:t>
      </w:r>
    </w:p>
    <w:p>
      <w:pPr>
        <w:pStyle w:val="Normal"/>
        <w:numPr>
          <w:ilvl w:val="0"/>
          <w:numId w:val="7"/>
        </w:numPr>
        <w:spacing w:lineRule="auto" w:line="360" w:before="0" w:after="0"/>
        <w:jc w:val="left"/>
        <w:rPr/>
      </w:pPr>
      <w:hyperlink r:id="rId12">
        <w:r>
          <w:rPr>
            <w:rStyle w:val="InternetLink"/>
            <w:rFonts w:eastAsia="Times New Roman" w:cs="Times New Roman"/>
            <w:b w:val="false"/>
            <w:bCs w:val="false"/>
            <w:i w:val="false"/>
            <w:iCs w:val="false"/>
            <w:color w:val="000000"/>
            <w:sz w:val="24"/>
            <w:szCs w:val="24"/>
            <w:lang w:eastAsia="zh-CN"/>
          </w:rPr>
          <w:t>https://docs.oracle.com/...e/11/</w:t>
        </w:r>
      </w:hyperlink>
      <w:r>
        <w:rPr>
          <w:rFonts w:eastAsia="Times New Roman" w:cs="Times New Roman"/>
          <w:b w:val="false"/>
          <w:bCs w:val="false"/>
          <w:i w:val="false"/>
          <w:iCs w:val="false"/>
          <w:color w:val="000000"/>
          <w:sz w:val="24"/>
          <w:szCs w:val="24"/>
          <w:lang w:eastAsia="zh-CN"/>
        </w:rPr>
        <w:t xml:space="preserve"> англ., </w:t>
      </w:r>
      <w:r>
        <w:rPr>
          <w:rFonts w:eastAsia="Times New Roman" w:cs="Times New Roman"/>
          <w:b w:val="false"/>
          <w:bCs w:val="false"/>
          <w:i w:val="false"/>
          <w:iCs w:val="false"/>
          <w:color w:val="000000"/>
          <w:kern w:val="0"/>
          <w:sz w:val="24"/>
          <w:szCs w:val="24"/>
          <w:lang w:val="ru-RU" w:eastAsia="zh-CN" w:bidi="ar-SA"/>
        </w:rPr>
        <w:t>д</w:t>
      </w:r>
      <w:r>
        <w:rPr>
          <w:rFonts w:eastAsia="Times New Roman" w:cs="Times New Roman"/>
          <w:b w:val="false"/>
          <w:bCs w:val="false"/>
          <w:i w:val="false"/>
          <w:iCs w:val="false"/>
          <w:color w:val="000000"/>
          <w:sz w:val="24"/>
          <w:szCs w:val="24"/>
          <w:lang w:eastAsia="zh-CN"/>
        </w:rPr>
        <w:t xml:space="preserve">окументация </w:t>
      </w:r>
      <w:r>
        <w:rPr>
          <w:rFonts w:eastAsia="Times New Roman" w:cs="Times New Roman"/>
          <w:b w:val="false"/>
          <w:bCs w:val="false"/>
          <w:i w:val="false"/>
          <w:iCs w:val="false"/>
          <w:color w:val="000000"/>
          <w:sz w:val="24"/>
          <w:szCs w:val="24"/>
          <w:lang w:eastAsia="zh-CN"/>
        </w:rPr>
        <w:t>компании «Red Hat»</w:t>
      </w:r>
    </w:p>
    <w:p>
      <w:pPr>
        <w:pStyle w:val="Heading2"/>
        <w:numPr>
          <w:ilvl w:val="1"/>
          <w:numId w:val="2"/>
        </w:numPr>
        <w:spacing w:lineRule="auto" w:line="360" w:before="0" w:after="0"/>
        <w:ind w:left="0" w:hanging="0"/>
        <w:jc w:val="left"/>
        <w:rPr>
          <w:rFonts w:ascii="Times New Roman" w:hAnsi="Times New Roman" w:eastAsia="Times New Roman" w:cs="Times New Roman"/>
          <w:b/>
          <w:b/>
          <w:bCs/>
          <w:i/>
          <w:i/>
          <w:iCs/>
          <w:color w:val="000000"/>
          <w:sz w:val="32"/>
          <w:szCs w:val="32"/>
          <w:lang w:eastAsia="zh-CN"/>
        </w:rPr>
      </w:pPr>
      <w:r>
        <w:rPr>
          <w:rFonts w:eastAsia="Times New Roman" w:cs="Times New Roman" w:ascii="Times New Roman" w:hAnsi="Times New Roman"/>
          <w:b/>
          <w:bCs/>
          <w:i/>
          <w:iCs/>
          <w:color w:val="000000"/>
          <w:sz w:val="32"/>
          <w:szCs w:val="32"/>
          <w:lang w:eastAsia="zh-CN"/>
        </w:rPr>
        <w:t>Администрирование внешнего прокси-сервера</w:t>
      </w:r>
    </w:p>
    <w:p>
      <w:pPr>
        <w:pStyle w:val="Normal"/>
        <w:spacing w:lineRule="auto" w:line="360" w:before="0" w:after="0"/>
        <w:ind w:left="0" w:hanging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eastAsia="Times New Roman" w:cs="Times New Roman"/>
          <w:b w:val="false"/>
          <w:bCs w:val="false"/>
          <w:i w:val="false"/>
          <w:iCs w:val="false"/>
          <w:color w:val="000000"/>
          <w:sz w:val="24"/>
          <w:szCs w:val="24"/>
          <w:lang w:eastAsia="zh-CN"/>
        </w:rPr>
        <w:t>Система использует обратный прокси-сервер Nginx для обеспечения доступа к пользовательскому интерфейсу и серверу приложения. Документация доступна по ссылке ниже:</w:t>
      </w:r>
    </w:p>
    <w:p>
      <w:pPr>
        <w:pStyle w:val="Normal"/>
        <w:numPr>
          <w:ilvl w:val="0"/>
          <w:numId w:val="8"/>
        </w:numPr>
        <w:spacing w:lineRule="auto" w:line="360" w:before="0" w:after="0"/>
        <w:jc w:val="left"/>
        <w:rPr/>
      </w:pPr>
      <w:hyperlink r:id="rId13">
        <w:r>
          <w:rPr>
            <w:rStyle w:val="InternetLink"/>
            <w:rFonts w:eastAsia="Times New Roman" w:cs="Times New Roman"/>
            <w:b w:val="false"/>
            <w:bCs w:val="false"/>
            <w:i w:val="false"/>
            <w:iCs w:val="false"/>
            <w:color w:val="000000"/>
            <w:sz w:val="24"/>
            <w:szCs w:val="24"/>
            <w:lang w:eastAsia="zh-CN"/>
          </w:rPr>
          <w:t>https://nginx.org/ru/docs/</w:t>
        </w:r>
      </w:hyperlink>
      <w:r>
        <w:rPr>
          <w:rFonts w:eastAsia="Times New Roman" w:cs="Times New Roman"/>
          <w:b w:val="false"/>
          <w:bCs w:val="false"/>
          <w:i w:val="false"/>
          <w:iCs w:val="false"/>
          <w:color w:val="000000"/>
          <w:sz w:val="24"/>
          <w:szCs w:val="24"/>
          <w:lang w:eastAsia="zh-CN"/>
        </w:rPr>
        <w:t xml:space="preserve"> </w:t>
      </w:r>
      <w:r>
        <w:rPr>
          <w:b w:val="false"/>
          <w:bCs w:val="false"/>
          <w:sz w:val="24"/>
          <w:szCs w:val="24"/>
        </w:rPr>
        <w:t>рус., официальная документация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decimal"/>
      <w:lvlText w:val="%1.%2."/>
      <w:lvlJc w:val="left"/>
      <w:pPr>
        <w:tabs>
          <w:tab w:val="num" w:pos="435"/>
        </w:tabs>
        <w:ind w:left="1227" w:hanging="432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435"/>
        </w:tabs>
        <w:ind w:left="795" w:hanging="360"/>
      </w:pPr>
    </w:lvl>
    <w:lvl w:ilvl="1">
      <w:start w:val="1"/>
      <w:numFmt w:val="decimal"/>
      <w:lvlText w:val="%1.%2."/>
      <w:lvlJc w:val="left"/>
      <w:pPr>
        <w:tabs>
          <w:tab w:val="num" w:pos="435"/>
        </w:tabs>
        <w:ind w:left="1227" w:hanging="432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3"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uiPriority="0" w:semiHidden="1" w:unhideWhenUsed="1" w:qFormat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f72c09"/>
    <w:pPr>
      <w:widowControl w:val="false"/>
      <w:suppressAutoHyphens w:val="true"/>
      <w:bidi w:val="0"/>
      <w:spacing w:lineRule="auto" w:line="240" w:before="0" w:after="120"/>
      <w:ind w:firstLine="720"/>
      <w:jc w:val="both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ru-RU" w:eastAsia="zh-CN" w:bidi="ar-SA"/>
    </w:rPr>
  </w:style>
  <w:style w:type="paragraph" w:styleId="Heading1">
    <w:name w:val="Heading 1"/>
    <w:basedOn w:val="Normal"/>
    <w:next w:val="Normal"/>
    <w:link w:val="10"/>
    <w:qFormat/>
    <w:rsid w:val="00f72c09"/>
    <w:pPr>
      <w:keepNext w:val="true"/>
      <w:tabs>
        <w:tab w:val="clear" w:pos="708"/>
        <w:tab w:val="left" w:pos="360" w:leader="none"/>
      </w:tabs>
      <w:spacing w:before="120" w:after="120"/>
      <w:ind w:hanging="0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link w:val="20"/>
    <w:qFormat/>
    <w:rsid w:val="00f72c09"/>
    <w:pPr>
      <w:keepNext w:val="true"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1"/>
    <w:qFormat/>
    <w:rsid w:val="00f72c09"/>
    <w:rPr>
      <w:rFonts w:ascii="Times New Roman" w:hAnsi="Times New Roman" w:eastAsia="Times New Roman" w:cs="Times New Roman"/>
      <w:b/>
      <w:bCs/>
      <w:color w:val="000000"/>
      <w:sz w:val="28"/>
      <w:szCs w:val="28"/>
      <w:lang w:eastAsia="zh-CN"/>
    </w:rPr>
  </w:style>
  <w:style w:type="character" w:styleId="2" w:customStyle="1">
    <w:name w:val="Заголовок 2 Знак"/>
    <w:basedOn w:val="DefaultParagraphFont"/>
    <w:link w:val="2"/>
    <w:qFormat/>
    <w:rsid w:val="00f72c09"/>
    <w:rPr>
      <w:rFonts w:ascii="Arial" w:hAnsi="Arial" w:eastAsia="Times New Roman" w:cs="Arial"/>
      <w:b/>
      <w:bCs/>
      <w:i/>
      <w:iCs/>
      <w:color w:val="000000"/>
      <w:sz w:val="28"/>
      <w:szCs w:val="28"/>
      <w:lang w:eastAsia="zh-CN"/>
    </w:rPr>
  </w:style>
  <w:style w:type="character" w:styleId="21" w:customStyle="1">
    <w:name w:val="Основной текст с отступом 2 Знак"/>
    <w:basedOn w:val="DefaultParagraphFont"/>
    <w:link w:val="21"/>
    <w:qFormat/>
    <w:rsid w:val="00f72c09"/>
    <w:rPr>
      <w:rFonts w:ascii="Times New Roman" w:hAnsi="Times New Roman" w:eastAsia="Times New Roman" w:cs="Times New Roman"/>
      <w:color w:val="000000"/>
      <w:sz w:val="24"/>
      <w:szCs w:val="24"/>
      <w:lang w:eastAsia="zh-CN"/>
    </w:rPr>
  </w:style>
  <w:style w:type="character" w:styleId="Style12" w:customStyle="1">
    <w:name w:val="Верхний колонтитул Знак"/>
    <w:basedOn w:val="DefaultParagraphFont"/>
    <w:link w:val="a3"/>
    <w:uiPriority w:val="99"/>
    <w:semiHidden/>
    <w:qFormat/>
    <w:rsid w:val="00f72c09"/>
    <w:rPr>
      <w:rFonts w:ascii="Times New Roman" w:hAnsi="Times New Roman" w:eastAsia="Times New Roman" w:cs="Times New Roman"/>
      <w:color w:val="000000"/>
      <w:sz w:val="24"/>
      <w:szCs w:val="24"/>
      <w:lang w:eastAsia="zh-C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BodyTextIndent2">
    <w:name w:val="Body Text Indent 2"/>
    <w:basedOn w:val="Normal"/>
    <w:link w:val="22"/>
    <w:qFormat/>
    <w:rsid w:val="00f72c09"/>
    <w:pPr>
      <w:ind w:firstLine="709"/>
    </w:pPr>
    <w:rPr/>
  </w:style>
  <w:style w:type="paragraph" w:styleId="TABLE" w:customStyle="1">
    <w:name w:val="TABLE"/>
    <w:basedOn w:val="Header"/>
    <w:qFormat/>
    <w:rsid w:val="00f72c09"/>
    <w:pPr>
      <w:tabs>
        <w:tab w:val="clear" w:pos="4677"/>
        <w:tab w:val="clear" w:pos="9355"/>
      </w:tabs>
      <w:spacing w:before="120" w:after="120"/>
      <w:ind w:hanging="0"/>
      <w:jc w:val="left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a4"/>
    <w:uiPriority w:val="99"/>
    <w:semiHidden/>
    <w:unhideWhenUsed/>
    <w:rsid w:val="00f72c09"/>
    <w:pPr>
      <w:tabs>
        <w:tab w:val="clear" w:pos="708"/>
        <w:tab w:val="center" w:pos="4677" w:leader="none"/>
        <w:tab w:val="right" w:pos="9355" w:leader="none"/>
      </w:tabs>
      <w:spacing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hyperlink" Target="https://postgrespro.ru/doc.../index" TargetMode="External"/><Relationship Id="rId11" Type="http://schemas.openxmlformats.org/officeDocument/2006/relationships/hyperlink" Target="https://www.postgresql.org/...html" TargetMode="External"/><Relationship Id="rId12" Type="http://schemas.openxmlformats.org/officeDocument/2006/relationships/hyperlink" Target="https://docs.oracle.com/...e/11/" TargetMode="External"/><Relationship Id="rId13" Type="http://schemas.openxmlformats.org/officeDocument/2006/relationships/hyperlink" Target="https://nginx.org/ru/docs/" TargetMode="Externa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LibreOffice/7.0.3.1$Linux_X86_64 LibreOffice_project/00$Build-1</Application>
  <Pages>5</Pages>
  <Words>366</Words>
  <Characters>2683</Characters>
  <CharactersWithSpaces>2980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2021-01-11T17:57:00Z</dcterms:created>
  <dc:creator>Durachenko-serg@yandex.ru</dc:creator>
  <dc:description/>
  <dc:language>en-GB</dc:language>
  <cp:lastModifiedBy/>
  <dcterms:modified xsi:type="dcterms:W3CDTF">2021-01-12T19:09:06Z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