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9571"/>
      </w:tblGrid>
      <w:tr>
        <w:trPr>
          <w:trHeight w:val="1617" w:hRule="exact"/>
        </w:trPr>
        <w:tc>
          <w:tcPr>
            <w:tcW w:w="9571" w:type="dxa"/>
            <w:tcBorders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/>
            </w:pPr>
            <w:r>
              <w:rPr/>
              <w:t>КАФЕДРА КОМПЬЮТЕРНЫЕ СИСТЕМЫ И ТЕХНОЛОГИИ (№ 12)</w:t>
            </w:r>
          </w:p>
        </w:tc>
      </w:tr>
      <w:tr>
        <w:trPr>
          <w:trHeight w:val="5744" w:hRule="exact"/>
        </w:trPr>
        <w:tc>
          <w:tcPr>
            <w:tcW w:w="9571" w:type="dxa"/>
            <w:tcBorders/>
            <w:vAlign w:val="center"/>
          </w:tcPr>
          <w:p>
            <w:pPr>
              <w:pStyle w:val="DocumentName"/>
              <w:widowControl w:val="false"/>
              <w:tabs>
                <w:tab w:val="clear" w:pos="708"/>
                <w:tab w:val="left" w:pos="3252" w:leader="none"/>
                <w:tab w:val="center" w:pos="4853" w:leader="none"/>
              </w:tabs>
              <w:spacing w:lineRule="auto" w:line="360" w:before="120" w:after="120"/>
              <w:ind w:left="0" w:right="0" w:hanging="0"/>
              <w:contextualSpacing/>
              <w:rPr>
                <w:caps/>
                <w:sz w:val="28"/>
                <w:szCs w:val="28"/>
              </w:rPr>
            </w:pPr>
            <w:r>
              <w:rPr/>
              <w:t>Управление проектами и задачами</w:t>
            </w:r>
          </w:p>
          <w:p>
            <w:pPr>
              <w:pStyle w:val="DocumentName"/>
              <w:widowControl w:val="false"/>
              <w:tabs>
                <w:tab w:val="clear" w:pos="708"/>
                <w:tab w:val="left" w:pos="1605" w:leader="none"/>
              </w:tabs>
              <w:spacing w:lineRule="auto" w:line="360" w:before="120" w:after="120"/>
              <w:ind w:left="0" w:right="284" w:hanging="0"/>
              <w:contextualSpacing/>
              <w:rPr>
                <w:rFonts w:ascii="Times New Roman" w:hAnsi="Times New Roman" w:eastAsia="Times New Roman" w:cs="Times New Roman"/>
                <w:b/>
                <w:b/>
                <w:caps/>
                <w:color w:val="000000"/>
                <w:kern w:val="0"/>
                <w:sz w:val="32"/>
                <w:szCs w:val="32"/>
                <w:lang w:val="ru-RU" w:eastAsia="zh-CN" w:bidi="ar-SA"/>
              </w:rPr>
            </w:pPr>
            <w:r>
              <w:rPr>
                <w:rFonts w:eastAsia="Times New Roman" w:cs="Times New Roman"/>
                <w:b/>
                <w:caps/>
                <w:color w:val="000000"/>
                <w:kern w:val="0"/>
                <w:sz w:val="32"/>
                <w:szCs w:val="32"/>
                <w:lang w:val="ru-RU" w:eastAsia="zh-CN" w:bidi="ar-SA"/>
              </w:rPr>
              <w:t>руководство администратора</w:t>
            </w:r>
          </w:p>
          <w:p>
            <w:pPr>
              <w:pStyle w:val="DocumentName"/>
              <w:widowControl w:val="false"/>
              <w:tabs>
                <w:tab w:val="clear" w:pos="708"/>
                <w:tab w:val="left" w:pos="1605" w:leader="none"/>
              </w:tabs>
              <w:spacing w:lineRule="auto" w:line="360" w:before="120" w:after="120"/>
              <w:ind w:left="0" w:right="284" w:hanging="0"/>
              <w:contextualSpacing/>
              <w:rPr>
                <w:b w:val="false"/>
                <w:b w:val="false"/>
                <w:sz w:val="24"/>
                <w:szCs w:val="24"/>
                <w:lang w:val="en-US"/>
              </w:rPr>
            </w:pPr>
            <w:r>
              <w:rPr>
                <w:b w:val="false"/>
                <w:sz w:val="24"/>
                <w:szCs w:val="24"/>
              </w:rPr>
              <w:t xml:space="preserve">Листов </w:t>
            </w:r>
            <w:r>
              <w:rPr>
                <w:b w:val="false"/>
                <w:sz w:val="24"/>
                <w:szCs w:val="24"/>
                <w:lang w:val="en-US"/>
              </w:rPr>
              <w:t>??</w:t>
            </w:r>
          </w:p>
          <w:p>
            <w:pPr>
              <w:pStyle w:val="DocumentName"/>
              <w:widowControl w:val="false"/>
              <w:spacing w:lineRule="auto" w:line="360" w:before="120" w:after="120"/>
              <w:ind w:left="0" w:right="284" w:hanging="0"/>
              <w:contextualSpacing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Версия 1.0</w:t>
            </w:r>
          </w:p>
          <w:p>
            <w:pPr>
              <w:pStyle w:val="Normal"/>
              <w:widowControl w:val="false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5478" w:hRule="exact"/>
        </w:trPr>
        <w:tc>
          <w:tcPr>
            <w:tcW w:w="9571" w:type="dxa"/>
            <w:tcBorders/>
          </w:tcPr>
          <w:p>
            <w:pPr>
              <w:pStyle w:val="DocumentName"/>
              <w:widowControl w:val="false"/>
              <w:tabs>
                <w:tab w:val="clear" w:pos="708"/>
                <w:tab w:val="left" w:pos="3252" w:leader="none"/>
                <w:tab w:val="center" w:pos="4853" w:leader="none"/>
              </w:tabs>
              <w:spacing w:lineRule="auto" w:line="360" w:before="120" w:after="120"/>
              <w:ind w:left="0" w:right="0" w:hanging="0"/>
              <w:contextualSpacing/>
              <w:rPr/>
            </w:pPr>
            <w:r>
              <w:rPr/>
            </w:r>
          </w:p>
        </w:tc>
      </w:tr>
      <w:tr>
        <w:trPr>
          <w:trHeight w:val="718" w:hRule="exact"/>
        </w:trPr>
        <w:tc>
          <w:tcPr>
            <w:tcW w:w="9571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/>
            </w:pPr>
            <w:r>
              <w:rPr/>
              <w:t>Москва, 20_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709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spacing w:before="120" w:after="120"/>
        <w:rPr>
          <w:sz w:val="32"/>
          <w:szCs w:val="32"/>
        </w:rPr>
      </w:pPr>
      <w:r>
        <w:rPr>
          <w:sz w:val="32"/>
          <w:szCs w:val="32"/>
        </w:rPr>
        <w:t>Описание стандартных элементов ПК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Состав приложений</w:t>
      </w:r>
    </w:p>
    <w:p>
      <w:pPr>
        <w:pStyle w:val="Normal"/>
        <w:rPr/>
      </w:pPr>
      <w:r>
        <w:rPr/>
        <w:t>ПК состоит из модульного веб-приложения, предоставляющего доступ к: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созданию и управлению проектами и задачами;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формированию релизов;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управлению пользователями системы.</w:t>
      </w:r>
    </w:p>
    <w:p>
      <w:pPr>
        <w:pStyle w:val="Normal"/>
        <w:rPr/>
      </w:pPr>
      <w:r>
        <w:rPr/>
        <w:t>Данные возможности реализуются наборами модулей, являющихся отдельными экранами веб-приложения.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Модули ПК</w:t>
      </w:r>
    </w:p>
    <w:p>
      <w:pPr>
        <w:pStyle w:val="Normal"/>
        <w:spacing w:lineRule="auto" w:line="360" w:before="0" w:after="0"/>
        <w:rPr/>
      </w:pPr>
      <w:r>
        <w:rPr/>
        <w:t>По функциональному назначению все модули системы можно разделить на 3 типа: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Модули ввода информации, необходимой для настройки системы управления объектами применения системы;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Модули просмотра информации;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Модуль авторизации.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Формы ввода и просмотра информации ПК</w:t>
      </w:r>
    </w:p>
    <w:p>
      <w:pPr>
        <w:pStyle w:val="Normal"/>
        <w:spacing w:lineRule="auto" w:line="360" w:before="0" w:after="0"/>
        <w:rPr/>
      </w:pPr>
      <w:r>
        <w:rPr/>
        <w:t>В системе используется несколько типов форм ввода и просмотра информации:;</w:t>
      </w:r>
    </w:p>
    <w:p>
      <w:pPr>
        <w:pStyle w:val="Normal"/>
        <w:numPr>
          <w:ilvl w:val="0"/>
          <w:numId w:val="5"/>
        </w:numPr>
        <w:spacing w:lineRule="auto" w:line="360" w:before="0" w:after="0"/>
        <w:rPr/>
      </w:pPr>
      <w:r>
        <w:rPr/>
        <w:t>Формы просмотра  информации в табличном виде. Экранная форма содержит одну таблицу;</w:t>
      </w:r>
    </w:p>
    <w:p>
      <w:pPr>
        <w:pStyle w:val="Normal"/>
        <w:numPr>
          <w:ilvl w:val="0"/>
          <w:numId w:val="5"/>
        </w:numPr>
        <w:spacing w:lineRule="auto" w:line="360" w:before="0" w:after="0"/>
        <w:rPr/>
      </w:pPr>
      <w:r>
        <w:rPr/>
        <w:t>Формы просмотра, ввода и редактирования информации в карточном виде; элементы карточки организованы в одну или несколько колонок в зависимости от типов и форматов информации и элементов управления;</w:t>
      </w:r>
    </w:p>
    <w:p>
      <w:pPr>
        <w:pStyle w:val="Normal"/>
        <w:numPr>
          <w:ilvl w:val="0"/>
          <w:numId w:val="5"/>
        </w:numPr>
        <w:spacing w:lineRule="auto" w:line="360" w:before="0" w:after="0"/>
        <w:rPr/>
      </w:pPr>
      <w:r>
        <w:rPr/>
        <w:t>Форма доски, содержащая визуальное представление статуса задач и элементы интерактивного управления статусом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Панели управления</w:t>
      </w:r>
    </w:p>
    <w:p>
      <w:pPr>
        <w:pStyle w:val="Normal"/>
        <w:rPr/>
      </w:pPr>
      <w:r>
        <w:rPr/>
        <w:t>Формы ПК снабжены панелями управления.</w:t>
      </w:r>
    </w:p>
    <w:p>
      <w:pPr>
        <w:pStyle w:val="BodyTextIndent2"/>
        <w:rPr/>
      </w:pPr>
      <w:r>
        <w:rPr/>
        <w:t>Ниже приведены назначение и пиктограммы управляющих кнопок, используемых различных экранных формах.</w:t>
      </w:r>
    </w:p>
    <w:p>
      <w:pPr>
        <w:pStyle w:val="BodyTextIndent2"/>
        <w:rPr/>
      </w:pPr>
      <w:r>
        <w:rPr/>
      </w:r>
    </w:p>
    <w:tbl>
      <w:tblPr>
        <w:tblW w:w="9750" w:type="dxa"/>
        <w:jc w:val="left"/>
        <w:tblInd w:w="-5" w:type="dxa"/>
        <w:tblLayout w:type="fixed"/>
        <w:tblCellMar>
          <w:top w:w="0" w:type="dxa"/>
          <w:left w:w="95" w:type="dxa"/>
          <w:bottom w:w="0" w:type="dxa"/>
          <w:right w:w="95" w:type="dxa"/>
        </w:tblCellMar>
        <w:tblLook w:val="0000" w:noHBand="0" w:noVBand="0" w:firstColumn="0" w:lastRow="0" w:lastColumn="0" w:firstRow="0"/>
      </w:tblPr>
      <w:tblGrid>
        <w:gridCol w:w="6749"/>
        <w:gridCol w:w="3000"/>
      </w:tblGrid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управлению проектами и задачами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54" t="-185" r="-154" b="-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ab/>
              <w:t>/Задачи/</w:t>
            </w:r>
          </w:p>
        </w:tc>
      </w:tr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управлению релизами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68" t="-199" r="-168" b="-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ab/>
              <w:t>/Релизы/</w:t>
            </w:r>
          </w:p>
        </w:tc>
      </w:tr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настройкам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94" t="-194" r="-194" b="-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ab/>
              <w:t>/Настройки/</w:t>
            </w:r>
          </w:p>
        </w:tc>
      </w:tr>
      <w:tr>
        <w:trPr>
          <w:trHeight w:val="337" w:hRule="atLeast"/>
          <w:cantSplit w:val="true"/>
        </w:trPr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Управление текущей сессией пользователя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54" t="-161" r="-154" b="-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ab/>
              <w:t>/Имя пользователя/</w:t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>
          <w:sz w:val="32"/>
          <w:szCs w:val="32"/>
        </w:rPr>
      </w:pPr>
      <w:r>
        <w:rPr>
          <w:sz w:val="32"/>
          <w:szCs w:val="32"/>
        </w:rPr>
        <w:t>Вход в систему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Экран входа в систему</w:t>
      </w:r>
    </w:p>
    <w:p>
      <w:pPr>
        <w:pStyle w:val="Normal"/>
        <w:rPr/>
      </w:pPr>
      <w:r>
        <w:rPr/>
        <w:t>Приложение доступно по адресу, сконфигурированному в настройках сервера. Для получения адреса следует обратиться к администратору. Для использования приложения следует использовать современный веб-браузер, такой как Google Chrome/Chromium 85 и выше, Mozilla Firefox 78 и выше или Apple Safari 14 и выше, в версиях для рабочего стола.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0106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ис.1</w:t>
      </w:r>
      <w:bookmarkStart w:id="0" w:name="_GoBack"/>
      <w:bookmarkEnd w:id="0"/>
      <w:r>
        <w:rPr/>
        <w:t>. Экран входа в приложение</w:t>
      </w:r>
    </w:p>
    <w:p>
      <w:pPr>
        <w:pStyle w:val="Heading1"/>
        <w:numPr>
          <w:ilvl w:val="0"/>
          <w:numId w:val="0"/>
        </w:numPr>
        <w:ind w:left="0" w:hanging="0"/>
        <w:rPr>
          <w:sz w:val="32"/>
          <w:szCs w:val="32"/>
        </w:rPr>
      </w:pPr>
      <w:r>
        <w:rPr>
          <w:sz w:val="32"/>
          <w:szCs w:val="32"/>
        </w:rPr>
        <w:t>Управление пользователями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Доступ к информации о пользователях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Для перехода к управлению пользователями необходимо выбрать экран «Настройки» и на нем перейти во вкладку «Пользователи». На данном экране представлена таблица пользователей с их ролями, иконками, полем поиска, кнопками добавления и удаления.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43350"/>
            <wp:effectExtent l="0" t="0" r="0" b="0"/>
            <wp:wrapSquare wrapText="largest"/>
            <wp:docPr id="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ис.5.1-11. Экран таблицы пользователей.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</w:t>
      </w:r>
      <w:r>
        <w:rPr>
          <w:rFonts w:cs="Times New Roman" w:ascii="Times New Roman" w:hAnsi="Times New Roman"/>
        </w:rPr>
        <w:t>балвлени</w:t>
      </w:r>
      <w:r>
        <w:rPr>
          <w:rFonts w:cs="Times New Roman" w:ascii="Times New Roman" w:hAnsi="Times New Roman"/>
        </w:rPr>
        <w:t>е</w:t>
      </w:r>
      <w:r>
        <w:rPr>
          <w:rFonts w:cs="Times New Roman" w:ascii="Times New Roman" w:hAnsi="Times New Roman"/>
        </w:rPr>
        <w:t xml:space="preserve"> пользователя</w:t>
      </w:r>
    </w:p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>Для добавления пользователя необходимо нажать на кнопку «+» и в появившемся окне ввести его логин, дважды повторить пароль и выбрать его системную роль. Кнопками в нижней части экрана можно завердить или отменить добавление.</w:t>
      </w:r>
    </w:p>
    <w:p>
      <w:pPr>
        <w:pStyle w:val="Normal"/>
        <w:spacing w:lineRule="auto" w:line="360" w:before="0" w:after="0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-15875</wp:posOffset>
            </wp:positionV>
            <wp:extent cx="5940425" cy="2463800"/>
            <wp:effectExtent l="0" t="0" r="0" b="0"/>
            <wp:wrapTopAndBottom/>
            <wp:docPr id="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3550" r="0" b="24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  <w:t>Рис.5.1-12. Экран добавления пользователей.</w:t>
      </w:r>
      <w:r>
        <w:br w:type="page"/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Р</w:t>
      </w:r>
      <w:r>
        <w:rPr>
          <w:rFonts w:cs="Times New Roman" w:ascii="Times New Roman" w:hAnsi="Times New Roman"/>
        </w:rPr>
        <w:t>едактировани</w:t>
      </w:r>
      <w:r>
        <w:rPr>
          <w:rFonts w:cs="Times New Roman" w:ascii="Times New Roman" w:hAnsi="Times New Roman"/>
        </w:rPr>
        <w:t>е параметров</w:t>
      </w:r>
      <w:r>
        <w:rPr>
          <w:rFonts w:cs="Times New Roman" w:ascii="Times New Roman" w:hAnsi="Times New Roman"/>
        </w:rPr>
        <w:t xml:space="preserve"> пользователя</w:t>
      </w:r>
    </w:p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>Для редактирования параметров пользователя необходимо нажать на его логин в таблице. В появившемся окне доступы активация/деактивация пользователя, смена роли и просмотр проектов пользователя.</w:t>
      </w:r>
    </w:p>
    <w:p>
      <w:pPr>
        <w:pStyle w:val="Normal"/>
        <w:spacing w:lineRule="auto" w:line="360" w:before="0" w:after="0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22395"/>
            <wp:effectExtent l="0" t="0" r="0" b="0"/>
            <wp:wrapSquare wrapText="largest"/>
            <wp:docPr id="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  <w:t>Рис.5.1-13. Экран редактирования информации и прав пользователя.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32"/>
          <w:szCs w:val="32"/>
          <w:lang w:val="ru-RU" w:eastAsia="zh-CN" w:bidi="ar-SA"/>
        </w:rPr>
      </w:pPr>
      <w:r>
        <w:rPr>
          <w:rFonts w:eastAsia="Times New Roman" w:cs="Times New Roman"/>
          <w:b/>
          <w:bCs/>
          <w:color w:val="000000"/>
          <w:kern w:val="0"/>
          <w:sz w:val="32"/>
          <w:szCs w:val="32"/>
          <w:lang w:val="ru-RU" w:eastAsia="zh-CN" w:bidi="ar-SA"/>
        </w:rPr>
        <w:t>Сборка и запуск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32"/>
          <w:szCs w:val="32"/>
          <w:lang w:val="ru-RU" w:eastAsia="zh-CN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 xml:space="preserve">Технические требования </w:t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корректного функционирования приложения рекомендуется использование процессора с не менее чем 4 ядрами Intel Nehalem или AMD Bulldozer и новее а также не менее 8 ГБ ОЗУ и 100 ГБ дискового пространства.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kern w:val="0"/>
          <w:lang w:val="ru-RU" w:eastAsia="zh-CN" w:bidi="ar-SA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В качестве операционной системы следует использовать  macOS 10.13 и новее или дистрибутивы GNU/Linux, такие как Ubuntu 20.04, RHEL 8, Debian 10.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kern w:val="0"/>
          <w:lang w:val="ru-RU" w:eastAsia="zh-CN" w:bidi="ar-SA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сборки и запуска системы необходимы GNU Make, OpenJDK 11, Maven, NPM, Docker, Docker Compose с поддержкой версии 3.7 или выше, а также доступ к официальным репозиториям NPM, Docker и Maven или их локальным зеркалам.</w:t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32"/>
          <w:szCs w:val="32"/>
          <w:lang w:val="ru-RU" w:eastAsia="zh-CN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>Сборка и запуск</w:t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сборки приложения в корне директории с исходным кодом выполняется команда: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Monospace" w:hAnsi="Monospace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Monospace" w:hAnsi="Monospace"/>
          <w:b/>
          <w:bCs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make build</w:t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запуска приложения выполняется команда: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Monospace" w:hAnsi="Monospace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Monospace" w:hAnsi="Monospace"/>
          <w:b/>
          <w:bCs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make run</w:t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перео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пределения пути до директории данных Postgresql команде добавляется параметр пути: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Monospace" w:hAnsi="Monospace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Monospace" w:hAnsi="Monospace"/>
          <w:b/>
          <w:bCs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make run PSQL_DATA_PATH=/path/to/data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kern w:val="0"/>
          <w:lang w:val="ru-RU" w:eastAsia="zh-CN" w:bidi="ar-SA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Приложение при старте инициализирует директорию, если она не содержит базы данных PostgreSQL 13.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kern w:val="0"/>
          <w:lang w:val="ru-RU" w:eastAsia="zh-CN" w:bidi="ar-SA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После старта приложение доступно на порту 80/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kern w:val="0"/>
          <w:lang w:val="ru-RU" w:eastAsia="zh-CN" w:bidi="ar-SA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32"/>
          <w:szCs w:val="32"/>
          <w:lang w:val="ru-RU" w:eastAsia="zh-CN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>Остановка и управление</w:t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перезапуска с изменением конфигурации требуется повторить команду старта со всеми её параметрами.</w:t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остановки следует выполнить команду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Monospace" w:hAnsi="Monospace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Monospace" w:hAnsi="Monospace"/>
          <w:b/>
          <w:bCs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make stop</w:t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просмотра логов бэкенда и прокси-сервера доступна команда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Monospace" w:hAnsi="Monospace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Monospace" w:hAnsi="Monospace"/>
          <w:b/>
          <w:bCs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make logs</w:t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просмотра лога СУБД доступна команда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Monospace" w:hAnsi="Monospace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Monospace" w:hAnsi="Monospace"/>
          <w:b/>
          <w:bCs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make pg-logs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32"/>
          <w:szCs w:val="32"/>
          <w:lang w:val="ru-RU" w:eastAsia="zh-CN" w:bidi="ar-SA"/>
        </w:rPr>
      </w:pPr>
      <w:r>
        <w:rPr/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kern w:val="0"/>
          <w:lang w:val="ru-RU" w:eastAsia="zh-CN" w:bidi="ar-SA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zh-CN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zh-CN"/>
        </w:rPr>
        <w:t>Техническое обслуживание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32"/>
          <w:szCs w:val="32"/>
          <w:lang w:val="ru-RU" w:eastAsia="zh-CN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>Настройка прокси-сервера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Для изменения конфигурации прокси-сервера необходимо отредактировать файл deploy/nginx/nginx.conf. Для добавления прослушиваемых портов и изменения ip-адреса, эти изменения следует вносить в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FFFFFF" w:val="clear"/>
          <w:lang w:val="ru-RU" w:eastAsia="zh-CN" w:bidi="ar-SA"/>
        </w:rPr>
        <w:t>deploy/docker-compose.yaml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 согласно формату Docker Compose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в секцию services.proxy.ports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.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32"/>
          <w:szCs w:val="32"/>
          <w:lang w:val="ru-RU" w:eastAsia="zh-CN" w:bidi="ar-SA"/>
        </w:rPr>
      </w:pPr>
      <w:r>
        <w:rPr/>
      </w:r>
    </w:p>
    <w:p>
      <w:pPr>
        <w:pStyle w:val="Heading2"/>
        <w:numPr>
          <w:ilvl w:val="1"/>
          <w:numId w:val="2"/>
        </w:numPr>
        <w:spacing w:lineRule="auto" w:line="240"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>Настройка СУБД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Пароль СУБД указывается в файлах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FFFFFF" w:val="clear"/>
          <w:lang w:val="ru-RU" w:eastAsia="zh-CN" w:bidi="ar-SA"/>
        </w:rPr>
        <w:t>deploy/backend/init.sql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и в backend/src/main/resources/application.yml в секции spring.datasource.password. Изменение пароля по умолчанию возможно только при первичной инициализации СУБД.</w:t>
      </w:r>
    </w:p>
    <w:p>
      <w:pPr>
        <w:pStyle w:val="Normal"/>
        <w:spacing w:lineRule="auto" w:line="240" w:before="0" w:after="0"/>
        <w:ind w:left="0" w:hanging="0"/>
        <w:jc w:val="left"/>
        <w:rPr>
          <w:rFonts w:eastAsia="Times New Roman" w:cs="Times New Roman"/>
          <w:color w:val="000000"/>
          <w:kern w:val="0"/>
          <w:lang w:val="ru-RU" w:eastAsia="zh-CN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Для изменения конфигурации СУБД, операции по редактинованию необходимо добавить в скрипт на языке Bash, файл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FFFFFF" w:val="clear"/>
          <w:lang w:val="ru-RU" w:eastAsia="zh-CN" w:bidi="ar-SA"/>
        </w:rPr>
        <w:t>deploy/backend/bootstrap.sh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FFFFFF" w:val="clear"/>
          <w:lang w:val="ru-RU" w:eastAsia="zh-CN" w:bidi="ar-SA"/>
        </w:rPr>
        <w:t>.</w:t>
      </w:r>
    </w:p>
    <w:p>
      <w:pPr>
        <w:pStyle w:val="Normal"/>
        <w:spacing w:lineRule="auto" w:line="240" w:before="0" w:after="0"/>
        <w:ind w:left="0" w:hanging="0"/>
        <w:jc w:val="left"/>
        <w:rPr>
          <w:rFonts w:eastAsia="Times New Roman" w:cs="Times New Roman"/>
          <w:color w:val="000000"/>
          <w:kern w:val="0"/>
          <w:shd w:fill="FFFFFF" w:val="clear"/>
          <w:lang w:val="ru-RU" w:eastAsia="zh-CN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FFFFFF" w:val="clear"/>
          <w:lang w:val="ru-RU" w:eastAsia="zh-CN" w:bidi="ar-SA"/>
        </w:rPr>
        <w:t>Консоль СУБД доступа на порту 5432 localhost или в контейнере с СУБД пользователю postgres, доступ к контейнеру осуществляется командой: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Monospace" w:hAnsi="Monospace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Monospace" w:hAnsi="Monospace"/>
          <w:b/>
          <w:bCs/>
          <w:i w:val="false"/>
          <w:iCs w:val="false"/>
          <w:sz w:val="24"/>
          <w:szCs w:val="24"/>
        </w:rPr>
        <w:t>docker exec -it deploy_appbackend_1 bash</w:t>
      </w:r>
    </w:p>
    <w:p>
      <w:pPr>
        <w:pStyle w:val="Heading2"/>
        <w:numPr>
          <w:ilvl w:val="1"/>
          <w:numId w:val="2"/>
        </w:numPr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32"/>
          <w:szCs w:val="32"/>
          <w:lang w:val="ru-RU" w:eastAsia="zh-CN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>Резервное копирование СУБД</w:t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Резервное копирование и восстановление СУБД осуществляется согласно п.25.1 документации СУБД. При резервном копировании изнутри контейнера (см. 4.4), рекомендуется помещать резервную копию по пути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FFFFFF" w:val="clear"/>
          <w:lang w:val="ru-RU" w:eastAsia="zh-CN" w:bidi="ar-SA"/>
        </w:rPr>
        <w:t>/var/lib/postgresql/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kern w:val="0"/>
          <w:shd w:fill="FFFFFF" w:val="clear"/>
          <w:lang w:val="ru-RU" w:eastAsia="zh-CN" w:bidi="ar-SA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FFFFFF" w:val="clear"/>
          <w:lang w:val="ru-RU" w:eastAsia="zh-CN" w:bidi="ar-SA"/>
        </w:rPr>
        <w:t>Также в качестве резервных копий могут использоваться копии директории с данными и копии исходного кода.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kern w:val="0"/>
          <w:shd w:fill="FFFFFF" w:val="clear"/>
          <w:lang w:val="ru-RU" w:eastAsia="zh-CN" w:bidi="ar-SA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FFFFFF" w:val="clear"/>
          <w:lang w:val="ru-RU" w:eastAsia="zh-CN" w:bidi="ar-SA"/>
        </w:rPr>
        <w:t>Для резервного копирования рекомендуется остановить сервис согласно 4.2</w:t>
      </w:r>
    </w:p>
    <w:p>
      <w:pPr>
        <w:pStyle w:val="Normal"/>
        <w:spacing w:lineRule="auto" w:line="360" w:before="0" w:after="0"/>
        <w:ind w:left="0" w:hanging="0"/>
        <w:jc w:val="left"/>
        <w:rPr/>
      </w:pPr>
      <w:r>
        <w:rPr>
          <w:rFonts w:eastAsia="Times New Roman" w:cs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 xml:space="preserve"> 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32"/>
          <w:szCs w:val="32"/>
          <w:lang w:eastAsia="zh-CN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>Документация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eastAsia="zh-CN"/>
        </w:rPr>
        <w:t xml:space="preserve"> СУБД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В системе используется СУБД Postgre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SQL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1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3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. Для администрирования с localhost доступен стандартный интерфейс на порту 5432. Документация администратора доступна по ссылкам ниже: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left"/>
        <w:rPr/>
      </w:pPr>
      <w:hyperlink r:id="rId12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https://postgrespro.ru/doc.../index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рус., перевод компании «Постгрес Профессиональный»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left"/>
        <w:rPr/>
      </w:pPr>
      <w:hyperlink r:id="rId13">
        <w:r>
          <w:rPr>
            <w:rStyle w:val="InternetLink"/>
          </w:rPr>
          <w:t>https://www.postgresql.org/...html</w:t>
        </w:r>
      </w:hyperlink>
      <w:r>
        <w:rPr/>
        <w:t xml:space="preserve"> англ., официальная документация</w:t>
      </w:r>
    </w:p>
    <w:p>
      <w:pPr>
        <w:pStyle w:val="Heading2"/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/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32"/>
          <w:szCs w:val="32"/>
          <w:lang w:eastAsia="zh-CN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>Документация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eastAsia="zh-CN"/>
        </w:rPr>
        <w:t xml:space="preserve"> внешнего прокси-сервера</w:t>
      </w:r>
    </w:p>
    <w:p>
      <w:pPr>
        <w:pStyle w:val="Normal"/>
        <w:spacing w:lineRule="auto" w:line="240" w:before="57" w:after="57"/>
        <w:ind w:lef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Система использует обратный прокси-сервер Nginx для обеспечения доступа к пользовательскому интерфейсу и серверу приложения. Документация доступна по ссылке ниже:</w:t>
      </w:r>
    </w:p>
    <w:p>
      <w:pPr>
        <w:pStyle w:val="Normal"/>
        <w:numPr>
          <w:ilvl w:val="0"/>
          <w:numId w:val="7"/>
        </w:numPr>
        <w:spacing w:lineRule="auto" w:line="240" w:before="57" w:after="57"/>
        <w:jc w:val="left"/>
        <w:rPr/>
      </w:pPr>
      <w:hyperlink r:id="rId14">
        <w:r>
          <w:rPr>
            <w:rStyle w:val="InternetLink"/>
            <w:rFonts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lang w:eastAsia="zh-CN"/>
          </w:rPr>
          <w:t>https://nginx.org/ru/docs/</w:t>
        </w:r>
      </w:hyperlink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</w:t>
      </w:r>
      <w:r>
        <w:rPr>
          <w:b w:val="false"/>
          <w:bCs w:val="false"/>
          <w:sz w:val="24"/>
          <w:szCs w:val="24"/>
        </w:rPr>
        <w:t>рус., официальная документация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32"/>
          <w:szCs w:val="32"/>
          <w:lang w:eastAsia="zh-CN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 xml:space="preserve">Документация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>системы контейнеризации</w:t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запуска приложения используется система контейнеризации Docker и оркестратор Docker Compose.</w:t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Документация доступна по ссылкам: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left"/>
        <w:rPr/>
      </w:pPr>
      <w:hyperlink r:id="rId16">
        <w:r>
          <w:rPr>
            <w:rStyle w:val="InternetLink"/>
          </w:rPr>
          <w:t>https://docs.docker.com/compose/</w:t>
        </w:r>
      </w:hyperlink>
    </w:p>
    <w:p>
      <w:pPr>
        <w:pStyle w:val="Normal"/>
        <w:numPr>
          <w:ilvl w:val="0"/>
          <w:numId w:val="8"/>
        </w:numPr>
        <w:spacing w:lineRule="auto" w:line="360" w:before="0" w:after="0"/>
        <w:jc w:val="left"/>
        <w:rPr/>
      </w:pPr>
      <w:hyperlink r:id="rId18">
        <w:r>
          <w:rPr>
            <w:rStyle w:val="InternetLink"/>
          </w:rPr>
          <w:t>https://docs.docker.com/</w:t>
        </w:r>
      </w:hyperlink>
    </w:p>
    <w:p>
      <w:pPr>
        <w:pStyle w:val="Heading1"/>
        <w:numPr>
          <w:ilvl w:val="0"/>
          <w:numId w:val="0"/>
        </w:numPr>
        <w:spacing w:lineRule="auto" w:line="360" w:before="0" w:after="0"/>
        <w:ind w:left="720" w:hanging="0"/>
        <w:jc w:val="center"/>
        <w:rPr>
          <w:rFonts w:eastAsia="Times New Roman" w:cs="Times New Roman"/>
          <w:b/>
          <w:b/>
          <w:bCs/>
          <w:color w:val="000000"/>
          <w:sz w:val="32"/>
          <w:szCs w:val="32"/>
          <w:lang w:eastAsia="zh-CN"/>
        </w:rPr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720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32"/>
          <w:szCs w:val="32"/>
          <w:lang w:val="ru-RU" w:eastAsia="zh-CN" w:bidi="ar-SA"/>
        </w:rPr>
      </w:pPr>
      <w:r>
        <w:rPr>
          <w:rFonts w:eastAsia="Times New Roman" w:cs="Times New Roman"/>
          <w:b/>
          <w:bCs/>
          <w:color w:val="000000"/>
          <w:kern w:val="0"/>
          <w:sz w:val="32"/>
          <w:szCs w:val="32"/>
          <w:lang w:val="ru-RU" w:eastAsia="zh-CN" w:bidi="ar-SA"/>
        </w:rPr>
        <w:t>Д</w:t>
      </w:r>
      <w:r>
        <w:rPr>
          <w:rFonts w:eastAsia="Times New Roman" w:cs="Times New Roman"/>
          <w:b/>
          <w:bCs/>
          <w:color w:val="000000"/>
          <w:kern w:val="0"/>
          <w:sz w:val="32"/>
          <w:szCs w:val="32"/>
          <w:lang w:val="ru-RU" w:eastAsia="zh-CN" w:bidi="ar-SA"/>
        </w:rPr>
        <w:t>ействия при авариях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32"/>
          <w:szCs w:val="32"/>
          <w:lang w:val="ru-RU" w:eastAsia="zh-CN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>Аварийное восстановление</w:t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В случае аварий или иных ошибок следует восстановить конфигурацию Docker, Postgresql  в контейнере, проверить целостность оборудования и сетевой связности.</w:t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определения ошибок могут быть полезны логи, доступ к которым описан в 4.2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kern w:val="0"/>
          <w:lang w:val="ru-RU" w:eastAsia="zh-CN" w:bidi="ar-SA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Ошибки приложения (лог с тегом appbackend_1) являются ошибками приложения и фреймворка Spring. Логи с тегом proxy_1 относятся к прокси Nginx.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kern w:val="0"/>
          <w:lang w:val="ru-RU" w:eastAsia="zh-CN" w:bidi="ar-SA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При необходимости ручного восстановления СУБД, эти операции рекомендуется выполнять из контейнера (см. 4.4), согласно документации СУБД.</w:t>
      </w:r>
    </w:p>
    <w:sectPr>
      <w:headerReference w:type="default" r:id="rId19"/>
      <w:footerReference w:type="default" r:id="rId20"/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20"/>
      <w:jc w:val="right"/>
      <w:rPr>
        <w:lang w:val="en-US"/>
      </w:rPr>
    </w:pPr>
    <w:r>
      <w:rPr/>
      <w:tab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3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58"/>
      <w:gridCol w:w="2531"/>
      <w:gridCol w:w="6542"/>
    </w:tblGrid>
    <w:tr>
      <w:trPr/>
      <w:tc>
        <w:tcPr>
          <w:tcW w:w="958" w:type="dxa"/>
          <w:tcBorders/>
        </w:tcPr>
        <w:p>
          <w:pPr>
            <w:pStyle w:val="Footer"/>
            <w:widowControl w:val="false"/>
            <w:spacing w:before="0" w:after="0"/>
            <w:contextualSpacing/>
            <w:jc w:val="both"/>
            <w:rPr>
              <w:rFonts w:eastAsia="Calibri"/>
              <w:i/>
              <w:i/>
              <w:sz w:val="20"/>
              <w:lang w:val="ru-RU" w:eastAsia="en-US"/>
            </w:rPr>
          </w:pPr>
          <w:r>
            <w:rPr>
              <w:rFonts w:eastAsia="Calibri"/>
              <w:i/>
              <w:sz w:val="20"/>
              <w:lang w:val="ru-RU" w:eastAsia="en-US"/>
            </w:rPr>
          </w:r>
        </w:p>
      </w:tc>
      <w:tc>
        <w:tcPr>
          <w:tcW w:w="2531" w:type="dxa"/>
          <w:tcBorders/>
        </w:tcPr>
        <w:p>
          <w:pPr>
            <w:pStyle w:val="Footer"/>
            <w:widowControl w:val="false"/>
            <w:spacing w:before="0" w:after="0"/>
            <w:contextualSpacing/>
            <w:rPr>
              <w:rFonts w:eastAsia="Calibri"/>
              <w:i/>
              <w:i/>
              <w:sz w:val="20"/>
              <w:lang w:val="ru-RU" w:eastAsia="en-US"/>
            </w:rPr>
          </w:pPr>
          <w:r>
            <w:rPr>
              <w:rFonts w:eastAsia="Calibri"/>
              <w:i/>
              <w:sz w:val="20"/>
              <w:lang w:val="ru-RU" w:eastAsia="en-US"/>
            </w:rPr>
          </w:r>
        </w:p>
      </w:tc>
      <w:tc>
        <w:tcPr>
          <w:tcW w:w="6542" w:type="dxa"/>
          <w:tcBorders/>
        </w:tcPr>
        <w:p>
          <w:pPr>
            <w:pStyle w:val="Header"/>
            <w:widowControl w:val="false"/>
            <w:spacing w:before="0" w:after="0"/>
            <w:contextualSpacing/>
            <w:jc w:val="right"/>
            <w:rPr>
              <w:rFonts w:eastAsia="Calibri"/>
              <w:i/>
              <w:i/>
              <w:sz w:val="20"/>
              <w:lang w:val="ru-RU" w:eastAsia="en-US"/>
            </w:rPr>
          </w:pPr>
          <w:r>
            <w:rPr>
              <w:rFonts w:eastAsia="Calibri"/>
              <w:i/>
              <w:sz w:val="20"/>
              <w:lang w:val="ru-RU" w:eastAsia="en-US"/>
            </w:rPr>
          </w:r>
        </w:p>
      </w:tc>
    </w:tr>
  </w:tbl>
  <w:p>
    <w:pPr>
      <w:pStyle w:val="Header"/>
      <w:rPr>
        <w:lang w:val="ru-RU"/>
      </w:rPr>
    </w:pPr>
    <w:r>
      <w:rPr>
        <w:lang w:val="ru-RU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435"/>
        </w:tabs>
        <w:ind w:left="1227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5"/>
        </w:tabs>
        <w:ind w:left="795" w:hanging="360"/>
      </w:p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1227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2c09"/>
    <w:pPr>
      <w:widowControl w:val="false"/>
      <w:suppressAutoHyphens w:val="true"/>
      <w:bidi w:val="0"/>
      <w:spacing w:lineRule="auto" w:line="240" w:before="0" w:after="120"/>
      <w:ind w:firstLine="72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link w:val="10"/>
    <w:qFormat/>
    <w:rsid w:val="00f72c09"/>
    <w:pPr>
      <w:keepNext w:val="true"/>
      <w:tabs>
        <w:tab w:val="clear" w:pos="708"/>
        <w:tab w:val="left" w:pos="360" w:leader="none"/>
      </w:tabs>
      <w:spacing w:before="120" w:after="120"/>
      <w:ind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0"/>
    <w:qFormat/>
    <w:rsid w:val="00f72c09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f72c09"/>
    <w:rPr>
      <w:rFonts w:ascii="Times New Roman" w:hAnsi="Times New Roman" w:eastAsia="Times New Roman" w:cs="Times New Roman"/>
      <w:b/>
      <w:bCs/>
      <w:color w:val="000000"/>
      <w:sz w:val="28"/>
      <w:szCs w:val="28"/>
      <w:lang w:eastAsia="zh-CN"/>
    </w:rPr>
  </w:style>
  <w:style w:type="character" w:styleId="2" w:customStyle="1">
    <w:name w:val="Заголовок 2 Знак"/>
    <w:basedOn w:val="DefaultParagraphFont"/>
    <w:link w:val="2"/>
    <w:qFormat/>
    <w:rsid w:val="00f72c09"/>
    <w:rPr>
      <w:rFonts w:ascii="Arial" w:hAnsi="Arial" w:eastAsia="Times New Roman" w:cs="Arial"/>
      <w:b/>
      <w:bCs/>
      <w:i/>
      <w:iCs/>
      <w:color w:val="000000"/>
      <w:sz w:val="28"/>
      <w:szCs w:val="28"/>
      <w:lang w:eastAsia="zh-CN"/>
    </w:rPr>
  </w:style>
  <w:style w:type="character" w:styleId="21" w:customStyle="1">
    <w:name w:val="Основной текст с отступом 2 Знак"/>
    <w:basedOn w:val="DefaultParagraphFont"/>
    <w:link w:val="21"/>
    <w:qFormat/>
    <w:rsid w:val="00f72c09"/>
    <w:rPr>
      <w:rFonts w:ascii="Times New Roman" w:hAnsi="Times New Roman" w:eastAsia="Times New Roman" w:cs="Times New Roman"/>
      <w:color w:val="000000"/>
      <w:sz w:val="24"/>
      <w:szCs w:val="24"/>
      <w:lang w:eastAsia="zh-CN"/>
    </w:rPr>
  </w:style>
  <w:style w:type="character" w:styleId="Style12" w:customStyle="1">
    <w:name w:val="Верхний колонтитул Знак"/>
    <w:basedOn w:val="DefaultParagraphFont"/>
    <w:link w:val="a3"/>
    <w:uiPriority w:val="99"/>
    <w:semiHidden/>
    <w:qFormat/>
    <w:rsid w:val="00f72c09"/>
    <w:rPr>
      <w:rFonts w:ascii="Times New Roman" w:hAnsi="Times New Roman" w:eastAsia="Times New Roman" w:cs="Times New Roman"/>
      <w:color w:val="000000"/>
      <w:sz w:val="24"/>
      <w:szCs w:val="24"/>
      <w:lang w:eastAsia="zh-C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odyTextIndent2">
    <w:name w:val="Body Text Indent 2"/>
    <w:basedOn w:val="Normal"/>
    <w:link w:val="22"/>
    <w:qFormat/>
    <w:rsid w:val="00f72c09"/>
    <w:pPr>
      <w:ind w:firstLine="709"/>
    </w:pPr>
    <w:rPr/>
  </w:style>
  <w:style w:type="paragraph" w:styleId="TABLE" w:customStyle="1">
    <w:name w:val="TABLE"/>
    <w:basedOn w:val="Header"/>
    <w:qFormat/>
    <w:rsid w:val="00f72c09"/>
    <w:pPr>
      <w:tabs>
        <w:tab w:val="clear" w:pos="4677"/>
        <w:tab w:val="clear" w:pos="9355"/>
      </w:tabs>
      <w:spacing w:before="120" w:after="120"/>
      <w:ind w:hanging="0"/>
      <w:jc w:val="left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semiHidden/>
    <w:unhideWhenUsed/>
    <w:rsid w:val="00f72c09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>
      <w:szCs w:val="20"/>
      <w:lang w:val="x-none" w:eastAsia="x-none"/>
    </w:rPr>
  </w:style>
  <w:style w:type="paragraph" w:styleId="DocumentName">
    <w:name w:val="Document Name"/>
    <w:basedOn w:val="Normal"/>
    <w:qFormat/>
    <w:pPr>
      <w:suppressAutoHyphens w:val="true"/>
      <w:spacing w:lineRule="auto" w:line="288" w:before="120" w:after="120"/>
      <w:ind w:left="170" w:right="170" w:hanging="0"/>
      <w:jc w:val="center"/>
    </w:pPr>
    <w:rPr>
      <w:b/>
      <w:sz w:val="32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yperlink" Target="https://postgrespro.ru/docs/postgresql/13/index" TargetMode="External"/><Relationship Id="rId13" Type="http://schemas.openxmlformats.org/officeDocument/2006/relationships/hyperlink" Target="https://www.postgresql.org/docs/13/index.html" TargetMode="External"/><Relationship Id="rId14" Type="http://schemas.openxmlformats.org/officeDocument/2006/relationships/hyperlink" Target="https://nginx.org/ru/docs/" TargetMode="External"/><Relationship Id="rId15" Type="http://schemas.openxmlformats.org/officeDocument/2006/relationships/hyperlink" Target="https://docs.docker.com/compose/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s://docs.docker.com/" TargetMode="External"/><Relationship Id="rId18" Type="http://schemas.openxmlformats.org/officeDocument/2006/relationships/hyperlink" Target="" TargetMode="External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LibreOffice/7.0.3.1$Linux_X86_64 LibreOffice_project/00$Build-1</Application>
  <Pages>8</Pages>
  <Words>884</Words>
  <Characters>6151</Characters>
  <CharactersWithSpaces>6913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2021-01-11T17:57:00Z</dcterms:created>
  <dc:creator>Durachenko-serg@yandex.ru</dc:creator>
  <dc:description/>
  <dc:language>en-GB</dc:language>
  <cp:lastModifiedBy/>
  <dcterms:modified xsi:type="dcterms:W3CDTF">2021-01-13T17:18:13Z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