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B1300" w14:textId="77777777" w:rsidR="00D02D7F" w:rsidRDefault="00D02D7F" w:rsidP="000B4299">
      <w:pPr>
        <w:shd w:val="clear" w:color="auto" w:fill="FFFFFF" w:themeFill="background1"/>
        <w:spacing w:after="0"/>
        <w:jc w:val="both"/>
        <w:rPr>
          <w:rFonts w:ascii="Times New Roman" w:eastAsia="Times New Roman" w:hAnsi="Times New Roman" w:cs="Times New Roman"/>
          <w:b/>
          <w:bCs/>
          <w:sz w:val="22"/>
          <w:szCs w:val="22"/>
        </w:rPr>
        <w:sectPr w:rsidR="00D02D7F">
          <w:pgSz w:w="12240" w:h="15840"/>
          <w:pgMar w:top="1440" w:right="1440" w:bottom="1440" w:left="1440" w:header="720" w:footer="720" w:gutter="0"/>
          <w:cols w:num="2" w:space="720"/>
          <w:docGrid w:linePitch="360"/>
        </w:sectPr>
      </w:pPr>
    </w:p>
    <w:p w14:paraId="436EDB43" w14:textId="77777777" w:rsidR="00935BA1" w:rsidRPr="001C2044" w:rsidRDefault="00935BA1" w:rsidP="00935BA1">
      <w:pPr>
        <w:shd w:val="clear" w:color="auto" w:fill="FFFFFF" w:themeFill="background1"/>
        <w:spacing w:after="0"/>
        <w:ind w:left="15"/>
        <w:jc w:val="center"/>
        <w:rPr>
          <w:rFonts w:ascii="Times New Roman" w:eastAsia="Times New Roman" w:hAnsi="Times New Roman" w:cs="Times New Roman"/>
          <w:b/>
          <w:bCs/>
          <w:sz w:val="28"/>
          <w:szCs w:val="28"/>
        </w:rPr>
      </w:pPr>
      <w:r w:rsidRPr="001C2044">
        <w:rPr>
          <w:rFonts w:ascii="Times New Roman" w:eastAsia="Times New Roman" w:hAnsi="Times New Roman" w:cs="Times New Roman"/>
          <w:b/>
          <w:bCs/>
          <w:sz w:val="28"/>
          <w:szCs w:val="28"/>
        </w:rPr>
        <w:t>A Balanced Light Control Framework Combining Central and Personalized Systems under Dynamic Occupancy Conditions</w:t>
      </w:r>
    </w:p>
    <w:p w14:paraId="459BB32D" w14:textId="72E034E3" w:rsidR="4F442426" w:rsidRPr="001C2044" w:rsidRDefault="00935BA1" w:rsidP="00935BA1">
      <w:pPr>
        <w:shd w:val="clear" w:color="auto" w:fill="FFFFFF" w:themeFill="background1"/>
        <w:spacing w:after="0"/>
        <w:ind w:left="15"/>
        <w:jc w:val="center"/>
        <w:rPr>
          <w:rFonts w:ascii="Times New Roman" w:eastAsia="Times New Roman" w:hAnsi="Times New Roman" w:cs="Times New Roman"/>
          <w:b/>
          <w:bCs/>
          <w:sz w:val="28"/>
          <w:szCs w:val="28"/>
        </w:rPr>
      </w:pPr>
      <w:r w:rsidRPr="001C2044">
        <w:rPr>
          <w:rFonts w:ascii="Times New Roman" w:eastAsia="Times New Roman" w:hAnsi="Times New Roman" w:cs="Times New Roman"/>
          <w:b/>
          <w:bCs/>
          <w:sz w:val="28"/>
          <w:szCs w:val="28"/>
        </w:rPr>
        <w:t>--- A Surrogate-Based Optimization Approach Validated with Historical Data</w:t>
      </w:r>
    </w:p>
    <w:p w14:paraId="17B5AB5F" w14:textId="77777777" w:rsidR="00AA32ED" w:rsidRDefault="00AA32ED" w:rsidP="00935BA1">
      <w:pPr>
        <w:shd w:val="clear" w:color="auto" w:fill="FFFFFF" w:themeFill="background1"/>
        <w:spacing w:after="0"/>
        <w:ind w:left="15"/>
        <w:jc w:val="center"/>
        <w:rPr>
          <w:rFonts w:ascii="Times New Roman" w:eastAsia="Times New Roman" w:hAnsi="Times New Roman" w:cs="Times New Roman"/>
          <w:b/>
          <w:bCs/>
          <w:sz w:val="22"/>
          <w:szCs w:val="22"/>
        </w:rPr>
      </w:pPr>
    </w:p>
    <w:p w14:paraId="5D0CB6A3" w14:textId="51A08E7A" w:rsidR="1C763FC5" w:rsidRDefault="1C763FC5" w:rsidP="00D02D7F">
      <w:pPr>
        <w:shd w:val="clear" w:color="auto" w:fill="FFFFFF" w:themeFill="background1"/>
        <w:spacing w:after="0"/>
        <w:ind w:left="15"/>
        <w:jc w:val="center"/>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rPr>
        <w:t>Kefan Chen</w:t>
      </w:r>
      <w:r w:rsidR="76AF4A59" w:rsidRPr="4F442426">
        <w:rPr>
          <w:rFonts w:ascii="Times New Roman" w:eastAsia="Times New Roman" w:hAnsi="Times New Roman" w:cs="Times New Roman"/>
          <w:sz w:val="22"/>
          <w:szCs w:val="22"/>
          <w:vertAlign w:val="superscript"/>
        </w:rPr>
        <w:t>1</w:t>
      </w:r>
      <w:r w:rsidRPr="4F442426">
        <w:rPr>
          <w:rFonts w:ascii="Times New Roman" w:eastAsia="Times New Roman" w:hAnsi="Times New Roman" w:cs="Times New Roman"/>
          <w:sz w:val="22"/>
          <w:szCs w:val="22"/>
        </w:rPr>
        <w:t xml:space="preserve">, </w:t>
      </w:r>
      <w:proofErr w:type="spellStart"/>
      <w:r w:rsidRPr="4F442426">
        <w:rPr>
          <w:rFonts w:ascii="Times New Roman" w:eastAsia="Times New Roman" w:hAnsi="Times New Roman" w:cs="Times New Roman"/>
          <w:sz w:val="22"/>
          <w:szCs w:val="22"/>
        </w:rPr>
        <w:t>Guanli</w:t>
      </w:r>
      <w:proofErr w:type="spellEnd"/>
      <w:r w:rsidRPr="4F442426">
        <w:rPr>
          <w:rFonts w:ascii="Times New Roman" w:eastAsia="Times New Roman" w:hAnsi="Times New Roman" w:cs="Times New Roman"/>
          <w:sz w:val="22"/>
          <w:szCs w:val="22"/>
        </w:rPr>
        <w:t xml:space="preserve"> Feng</w:t>
      </w:r>
      <w:r w:rsidR="7753F44F" w:rsidRPr="4F442426">
        <w:rPr>
          <w:rFonts w:ascii="Times New Roman" w:eastAsia="Times New Roman" w:hAnsi="Times New Roman" w:cs="Times New Roman"/>
          <w:sz w:val="22"/>
          <w:szCs w:val="22"/>
          <w:vertAlign w:val="superscript"/>
        </w:rPr>
        <w:t>2</w:t>
      </w:r>
      <w:r w:rsidR="00166C69">
        <w:rPr>
          <w:rFonts w:ascii="Times New Roman" w:eastAsia="Times New Roman" w:hAnsi="Times New Roman" w:cs="Times New Roman"/>
          <w:sz w:val="22"/>
          <w:szCs w:val="22"/>
        </w:rPr>
        <w:t>, Yu Qian Ang</w:t>
      </w:r>
      <w:r w:rsidR="00C731A8" w:rsidRPr="4F442426">
        <w:rPr>
          <w:rFonts w:ascii="Times New Roman" w:eastAsia="Times New Roman" w:hAnsi="Times New Roman" w:cs="Times New Roman"/>
          <w:sz w:val="22"/>
          <w:szCs w:val="22"/>
          <w:vertAlign w:val="superscript"/>
        </w:rPr>
        <w:t>1</w:t>
      </w:r>
      <w:r w:rsidR="00166C69">
        <w:rPr>
          <w:rFonts w:ascii="Times New Roman" w:eastAsia="Times New Roman" w:hAnsi="Times New Roman" w:cs="Times New Roman"/>
          <w:sz w:val="22"/>
          <w:szCs w:val="22"/>
          <w:vertAlign w:val="superscript"/>
        </w:rPr>
        <w:t>*</w:t>
      </w:r>
    </w:p>
    <w:p w14:paraId="61F77CEF" w14:textId="3AC12351" w:rsidR="4F442426" w:rsidRDefault="4F442426" w:rsidP="00D02D7F">
      <w:pPr>
        <w:shd w:val="clear" w:color="auto" w:fill="FFFFFF" w:themeFill="background1"/>
        <w:spacing w:after="0"/>
        <w:ind w:left="15"/>
        <w:jc w:val="center"/>
        <w:rPr>
          <w:rFonts w:ascii="Times New Roman" w:eastAsia="Times New Roman" w:hAnsi="Times New Roman" w:cs="Times New Roman"/>
          <w:sz w:val="22"/>
          <w:szCs w:val="22"/>
        </w:rPr>
      </w:pPr>
    </w:p>
    <w:p w14:paraId="3AA9C503" w14:textId="0830D3C5" w:rsidR="7753F44F" w:rsidRDefault="7753F44F" w:rsidP="00D02D7F">
      <w:pPr>
        <w:shd w:val="clear" w:color="auto" w:fill="FFFFFF" w:themeFill="background1"/>
        <w:spacing w:after="0"/>
        <w:ind w:left="15"/>
        <w:jc w:val="center"/>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vertAlign w:val="superscript"/>
        </w:rPr>
        <w:t>1</w:t>
      </w:r>
      <w:r w:rsidR="1C763FC5" w:rsidRPr="4F442426">
        <w:rPr>
          <w:rFonts w:ascii="Times New Roman" w:eastAsia="Times New Roman" w:hAnsi="Times New Roman" w:cs="Times New Roman"/>
          <w:sz w:val="22"/>
          <w:szCs w:val="22"/>
        </w:rPr>
        <w:t>Department of Built Environment, National University of Singapore, Singapore</w:t>
      </w:r>
    </w:p>
    <w:p w14:paraId="5C8D9BE8" w14:textId="6D333DED" w:rsidR="6D1F88CA" w:rsidRDefault="6D1F88CA" w:rsidP="00D02D7F">
      <w:pPr>
        <w:shd w:val="clear" w:color="auto" w:fill="FFFFFF" w:themeFill="background1"/>
        <w:spacing w:after="0"/>
        <w:ind w:left="15"/>
        <w:jc w:val="center"/>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vertAlign w:val="superscript"/>
        </w:rPr>
        <w:t>2</w:t>
      </w:r>
      <w:r w:rsidR="56E93F06" w:rsidRPr="4F442426">
        <w:rPr>
          <w:rFonts w:ascii="Times New Roman" w:eastAsia="Times New Roman" w:hAnsi="Times New Roman" w:cs="Times New Roman"/>
          <w:sz w:val="22"/>
          <w:szCs w:val="22"/>
        </w:rPr>
        <w:t>Department of Architecture, National University of Singapore, Singapore</w:t>
      </w:r>
    </w:p>
    <w:p w14:paraId="7DD9CF40" w14:textId="77777777" w:rsidR="00166C69" w:rsidRDefault="00166C69" w:rsidP="00D02D7F">
      <w:pPr>
        <w:shd w:val="clear" w:color="auto" w:fill="FFFFFF" w:themeFill="background1"/>
        <w:spacing w:after="0"/>
        <w:ind w:left="15"/>
        <w:jc w:val="center"/>
        <w:rPr>
          <w:rFonts w:ascii="Times New Roman" w:eastAsia="Times New Roman" w:hAnsi="Times New Roman" w:cs="Times New Roman"/>
          <w:sz w:val="22"/>
          <w:szCs w:val="22"/>
        </w:rPr>
      </w:pPr>
    </w:p>
    <w:p w14:paraId="259EB6B7" w14:textId="37C0B0ED" w:rsidR="00166C69" w:rsidRDefault="00166C69" w:rsidP="00166C69">
      <w:pPr>
        <w:shd w:val="clear" w:color="auto" w:fill="FFFFFF" w:themeFill="background1"/>
        <w:spacing w:after="0"/>
        <w:ind w:left="15"/>
        <w:rPr>
          <w:rFonts w:ascii="Times New Roman" w:eastAsia="Times New Roman" w:hAnsi="Times New Roman" w:cs="Times New Roman"/>
          <w:sz w:val="22"/>
          <w:szCs w:val="22"/>
        </w:rPr>
      </w:pPr>
      <w:r>
        <w:rPr>
          <w:rFonts w:ascii="Times New Roman" w:eastAsia="Times New Roman" w:hAnsi="Times New Roman" w:cs="Times New Roman"/>
          <w:sz w:val="22"/>
          <w:szCs w:val="22"/>
        </w:rPr>
        <w:t>*Corresponding Author</w:t>
      </w:r>
    </w:p>
    <w:p w14:paraId="091AB1E9" w14:textId="77777777" w:rsidR="00D02D7F" w:rsidRDefault="00D02D7F" w:rsidP="4F442426">
      <w:pPr>
        <w:shd w:val="clear" w:color="auto" w:fill="FFFFFF" w:themeFill="background1"/>
        <w:spacing w:after="0"/>
        <w:ind w:left="15"/>
        <w:jc w:val="both"/>
        <w:rPr>
          <w:rFonts w:ascii="Times New Roman" w:eastAsia="Times New Roman" w:hAnsi="Times New Roman" w:cs="Times New Roman"/>
          <w:sz w:val="22"/>
          <w:szCs w:val="22"/>
          <w:lang w:eastAsia="zh-CN"/>
        </w:rPr>
      </w:pPr>
    </w:p>
    <w:p w14:paraId="1A44AE2F" w14:textId="77777777" w:rsidR="00D02D7F" w:rsidRDefault="00D02D7F" w:rsidP="4F442426">
      <w:pPr>
        <w:shd w:val="clear" w:color="auto" w:fill="FFFFFF" w:themeFill="background1"/>
        <w:spacing w:after="0"/>
        <w:ind w:left="15"/>
        <w:jc w:val="both"/>
        <w:rPr>
          <w:rFonts w:ascii="Times New Roman" w:eastAsia="Times New Roman" w:hAnsi="Times New Roman" w:cs="Times New Roman"/>
          <w:sz w:val="22"/>
          <w:szCs w:val="22"/>
          <w:lang w:eastAsia="zh-CN"/>
        </w:rPr>
        <w:sectPr w:rsidR="00D02D7F" w:rsidSect="00D02D7F">
          <w:type w:val="continuous"/>
          <w:pgSz w:w="12240" w:h="15840"/>
          <w:pgMar w:top="1440" w:right="1440" w:bottom="1440" w:left="1440" w:header="720" w:footer="720" w:gutter="0"/>
          <w:cols w:space="720"/>
          <w:docGrid w:linePitch="360"/>
        </w:sectPr>
      </w:pPr>
    </w:p>
    <w:p w14:paraId="0A37D496" w14:textId="46A8BBA3" w:rsidR="00966639" w:rsidRPr="00BC0D54" w:rsidRDefault="00DE33FF" w:rsidP="007A7299">
      <w:pPr>
        <w:shd w:val="clear" w:color="auto" w:fill="FFFFFF" w:themeFill="background1"/>
        <w:spacing w:after="0"/>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ABSTRACT</w:t>
      </w:r>
    </w:p>
    <w:p w14:paraId="78B55E0A" w14:textId="446F2DD1" w:rsidR="008F3978" w:rsidRPr="008F3978" w:rsidRDefault="008F3978" w:rsidP="4F442426">
      <w:pPr>
        <w:spacing w:line="240" w:lineRule="auto"/>
        <w:jc w:val="both"/>
        <w:rPr>
          <w:rFonts w:ascii="Times New Roman" w:eastAsia="Times New Roman" w:hAnsi="Times New Roman" w:cs="Times New Roman"/>
          <w:sz w:val="22"/>
          <w:szCs w:val="22"/>
          <w:lang w:eastAsia="zh-CN"/>
        </w:rPr>
      </w:pPr>
      <w:r w:rsidRPr="4F442426">
        <w:rPr>
          <w:rFonts w:ascii="Times New Roman" w:eastAsia="Times New Roman" w:hAnsi="Times New Roman" w:cs="Times New Roman"/>
          <w:sz w:val="22"/>
          <w:szCs w:val="22"/>
          <w:lang w:eastAsia="zh-CN"/>
        </w:rPr>
        <w:t>As the intelligence level of building environments increases, optimizing lighting system energy consumption and regulating individual comfort have emerged as promising research topics in building performance studies. Current</w:t>
      </w:r>
      <w:r w:rsidR="003E1B06" w:rsidRPr="4F442426">
        <w:rPr>
          <w:rFonts w:ascii="Times New Roman" w:eastAsia="Times New Roman" w:hAnsi="Times New Roman" w:cs="Times New Roman"/>
          <w:sz w:val="22"/>
          <w:szCs w:val="22"/>
          <w:lang w:eastAsia="zh-CN"/>
        </w:rPr>
        <w:t>ly,</w:t>
      </w:r>
      <w:r w:rsidRPr="4F442426">
        <w:rPr>
          <w:rFonts w:ascii="Times New Roman" w:eastAsia="Times New Roman" w:hAnsi="Times New Roman" w:cs="Times New Roman"/>
          <w:sz w:val="22"/>
          <w:szCs w:val="22"/>
          <w:lang w:eastAsia="zh-CN"/>
        </w:rPr>
        <w:t xml:space="preserve"> building lighting primarily relies on centralized background systems for unified control, yet such systems struggle to accommodate individual </w:t>
      </w:r>
      <w:r w:rsidR="003E1B06" w:rsidRPr="4F442426">
        <w:rPr>
          <w:rFonts w:ascii="Times New Roman" w:eastAsia="Times New Roman" w:hAnsi="Times New Roman" w:cs="Times New Roman"/>
          <w:sz w:val="22"/>
          <w:szCs w:val="22"/>
          <w:lang w:eastAsia="zh-CN"/>
        </w:rPr>
        <w:t>preferences</w:t>
      </w:r>
      <w:r w:rsidRPr="4F442426">
        <w:rPr>
          <w:rFonts w:ascii="Times New Roman" w:eastAsia="Times New Roman" w:hAnsi="Times New Roman" w:cs="Times New Roman"/>
          <w:sz w:val="22"/>
          <w:szCs w:val="22"/>
          <w:lang w:eastAsia="zh-CN"/>
        </w:rPr>
        <w:t xml:space="preserve">. Meanwhile, Personalized Environmental Control Systems (PECS) enable </w:t>
      </w:r>
      <w:r w:rsidR="008C43D9" w:rsidRPr="4F442426">
        <w:rPr>
          <w:rFonts w:ascii="Times New Roman" w:eastAsia="Times New Roman" w:hAnsi="Times New Roman" w:cs="Times New Roman"/>
          <w:sz w:val="22"/>
          <w:szCs w:val="22"/>
          <w:lang w:eastAsia="zh-CN"/>
        </w:rPr>
        <w:t>each occupant</w:t>
      </w:r>
      <w:r w:rsidRPr="4F442426">
        <w:rPr>
          <w:rFonts w:ascii="Times New Roman" w:eastAsia="Times New Roman" w:hAnsi="Times New Roman" w:cs="Times New Roman"/>
          <w:sz w:val="22"/>
          <w:szCs w:val="22"/>
          <w:lang w:eastAsia="zh-CN"/>
        </w:rPr>
        <w:t xml:space="preserve"> to adjust their microenvironments according to personal needs, yet lack coordination mechanisms with the overall system. Addressing this contradiction, this paper proposes a </w:t>
      </w:r>
      <w:r w:rsidR="00B6223D" w:rsidRPr="4F442426">
        <w:rPr>
          <w:rFonts w:ascii="Times New Roman" w:eastAsia="Times New Roman" w:hAnsi="Times New Roman" w:cs="Times New Roman"/>
          <w:sz w:val="22"/>
          <w:szCs w:val="22"/>
          <w:lang w:eastAsia="zh-CN"/>
        </w:rPr>
        <w:t>b</w:t>
      </w:r>
      <w:r w:rsidRPr="4F442426">
        <w:rPr>
          <w:rFonts w:ascii="Times New Roman" w:eastAsia="Times New Roman" w:hAnsi="Times New Roman" w:cs="Times New Roman"/>
          <w:sz w:val="22"/>
          <w:szCs w:val="22"/>
          <w:lang w:eastAsia="zh-CN"/>
        </w:rPr>
        <w:t xml:space="preserve">alanced </w:t>
      </w:r>
      <w:r w:rsidR="00B6223D" w:rsidRPr="4F442426">
        <w:rPr>
          <w:rFonts w:ascii="Times New Roman" w:eastAsia="Times New Roman" w:hAnsi="Times New Roman" w:cs="Times New Roman"/>
          <w:sz w:val="22"/>
          <w:szCs w:val="22"/>
          <w:lang w:eastAsia="zh-CN"/>
        </w:rPr>
        <w:t>l</w:t>
      </w:r>
      <w:r w:rsidRPr="4F442426">
        <w:rPr>
          <w:rFonts w:ascii="Times New Roman" w:eastAsia="Times New Roman" w:hAnsi="Times New Roman" w:cs="Times New Roman"/>
          <w:sz w:val="22"/>
          <w:szCs w:val="22"/>
          <w:lang w:eastAsia="zh-CN"/>
        </w:rPr>
        <w:t xml:space="preserve">ight </w:t>
      </w:r>
      <w:r w:rsidR="00B6223D" w:rsidRPr="4F442426">
        <w:rPr>
          <w:rFonts w:ascii="Times New Roman" w:eastAsia="Times New Roman" w:hAnsi="Times New Roman" w:cs="Times New Roman"/>
          <w:sz w:val="22"/>
          <w:szCs w:val="22"/>
          <w:lang w:eastAsia="zh-CN"/>
        </w:rPr>
        <w:t>c</w:t>
      </w:r>
      <w:r w:rsidRPr="4F442426">
        <w:rPr>
          <w:rFonts w:ascii="Times New Roman" w:eastAsia="Times New Roman" w:hAnsi="Times New Roman" w:cs="Times New Roman"/>
          <w:sz w:val="22"/>
          <w:szCs w:val="22"/>
          <w:lang w:eastAsia="zh-CN"/>
        </w:rPr>
        <w:t xml:space="preserve">ontrol </w:t>
      </w:r>
      <w:r w:rsidR="00B6223D" w:rsidRPr="4F442426">
        <w:rPr>
          <w:rFonts w:ascii="Times New Roman" w:eastAsia="Times New Roman" w:hAnsi="Times New Roman" w:cs="Times New Roman"/>
          <w:sz w:val="22"/>
          <w:szCs w:val="22"/>
          <w:lang w:eastAsia="zh-CN"/>
        </w:rPr>
        <w:t>f</w:t>
      </w:r>
      <w:r w:rsidRPr="4F442426">
        <w:rPr>
          <w:rFonts w:ascii="Times New Roman" w:eastAsia="Times New Roman" w:hAnsi="Times New Roman" w:cs="Times New Roman"/>
          <w:sz w:val="22"/>
          <w:szCs w:val="22"/>
          <w:lang w:eastAsia="zh-CN"/>
        </w:rPr>
        <w:t xml:space="preserve">ramework that </w:t>
      </w:r>
      <w:r w:rsidR="001961FA" w:rsidRPr="001961FA">
        <w:rPr>
          <w:rFonts w:ascii="Times New Roman" w:eastAsia="Times New Roman" w:hAnsi="Times New Roman" w:cs="Times New Roman" w:hint="eastAsia"/>
          <w:sz w:val="22"/>
          <w:szCs w:val="22"/>
          <w:lang w:eastAsia="zh-CN"/>
        </w:rPr>
        <w:t>balances</w:t>
      </w:r>
      <w:r w:rsidR="001961FA">
        <w:rPr>
          <w:rFonts w:ascii="Times New Roman" w:hAnsi="Times New Roman" w:cs="Times New Roman" w:hint="eastAsia"/>
          <w:sz w:val="22"/>
          <w:szCs w:val="22"/>
          <w:lang w:eastAsia="zh-CN"/>
        </w:rPr>
        <w:t xml:space="preserve"> </w:t>
      </w:r>
      <w:r w:rsidRPr="4F442426">
        <w:rPr>
          <w:rFonts w:ascii="Times New Roman" w:eastAsia="Times New Roman" w:hAnsi="Times New Roman" w:cs="Times New Roman"/>
          <w:sz w:val="22"/>
          <w:szCs w:val="22"/>
          <w:lang w:eastAsia="zh-CN"/>
        </w:rPr>
        <w:t xml:space="preserve">background systems </w:t>
      </w:r>
      <w:r w:rsidR="00EA056D">
        <w:rPr>
          <w:rFonts w:ascii="Times New Roman" w:hAnsi="Times New Roman" w:cs="Times New Roman" w:hint="eastAsia"/>
          <w:sz w:val="22"/>
          <w:szCs w:val="22"/>
          <w:lang w:eastAsia="zh-CN"/>
        </w:rPr>
        <w:t>and</w:t>
      </w:r>
      <w:r w:rsidRPr="4F442426">
        <w:rPr>
          <w:rFonts w:ascii="Times New Roman" w:eastAsia="Times New Roman" w:hAnsi="Times New Roman" w:cs="Times New Roman"/>
          <w:sz w:val="22"/>
          <w:szCs w:val="22"/>
          <w:lang w:eastAsia="zh-CN"/>
        </w:rPr>
        <w:t xml:space="preserve"> </w:t>
      </w:r>
      <w:r w:rsidR="00B6223D" w:rsidRPr="4F442426">
        <w:rPr>
          <w:rFonts w:ascii="Times New Roman" w:eastAsia="Times New Roman" w:hAnsi="Times New Roman" w:cs="Times New Roman"/>
          <w:sz w:val="22"/>
          <w:szCs w:val="22"/>
          <w:lang w:eastAsia="zh-CN"/>
        </w:rPr>
        <w:t>PECS</w:t>
      </w:r>
      <w:r w:rsidRPr="4F442426">
        <w:rPr>
          <w:rFonts w:ascii="Times New Roman" w:eastAsia="Times New Roman" w:hAnsi="Times New Roman" w:cs="Times New Roman"/>
          <w:sz w:val="22"/>
          <w:szCs w:val="22"/>
          <w:lang w:eastAsia="zh-CN"/>
        </w:rPr>
        <w:t>. This framework aims to achieve dual optimization of visual</w:t>
      </w:r>
      <w:r w:rsidR="00EA056D">
        <w:rPr>
          <w:rFonts w:ascii="Times New Roman" w:hAnsi="Times New Roman" w:cs="Times New Roman" w:hint="eastAsia"/>
          <w:sz w:val="22"/>
          <w:szCs w:val="22"/>
          <w:lang w:eastAsia="zh-CN"/>
        </w:rPr>
        <w:t xml:space="preserve"> light</w:t>
      </w:r>
      <w:r w:rsidRPr="4F442426">
        <w:rPr>
          <w:rFonts w:ascii="Times New Roman" w:eastAsia="Times New Roman" w:hAnsi="Times New Roman" w:cs="Times New Roman"/>
          <w:sz w:val="22"/>
          <w:szCs w:val="22"/>
          <w:lang w:eastAsia="zh-CN"/>
        </w:rPr>
        <w:t xml:space="preserve"> comfort and lighting energy consumption under varying occupancy conditions.</w:t>
      </w:r>
    </w:p>
    <w:p w14:paraId="5C089BF2" w14:textId="6C4107E8" w:rsidR="0000614E" w:rsidRPr="0000614E" w:rsidRDefault="0000614E" w:rsidP="4F442426">
      <w:pPr>
        <w:spacing w:line="240" w:lineRule="auto"/>
        <w:jc w:val="both"/>
        <w:rPr>
          <w:rFonts w:ascii="Times New Roman" w:eastAsia="Times New Roman" w:hAnsi="Times New Roman" w:cs="Times New Roman"/>
          <w:sz w:val="22"/>
          <w:szCs w:val="22"/>
          <w:lang w:eastAsia="zh-CN"/>
        </w:rPr>
      </w:pPr>
      <w:r w:rsidRPr="4F442426">
        <w:rPr>
          <w:rFonts w:ascii="Times New Roman" w:eastAsia="Times New Roman" w:hAnsi="Times New Roman" w:cs="Times New Roman"/>
          <w:sz w:val="22"/>
          <w:szCs w:val="22"/>
          <w:lang w:eastAsia="zh-CN"/>
        </w:rPr>
        <w:t>This research focuses on the light environment because lighting</w:t>
      </w:r>
      <w:r w:rsidR="006D19A3" w:rsidRPr="4F442426">
        <w:rPr>
          <w:rFonts w:ascii="Times New Roman" w:eastAsia="Times New Roman" w:hAnsi="Times New Roman" w:cs="Times New Roman"/>
          <w:sz w:val="22"/>
          <w:szCs w:val="22"/>
          <w:lang w:eastAsia="zh-CN"/>
        </w:rPr>
        <w:t xml:space="preserve"> </w:t>
      </w:r>
      <w:r w:rsidR="0084328F" w:rsidRPr="4F442426">
        <w:rPr>
          <w:rFonts w:ascii="Times New Roman" w:eastAsia="Times New Roman" w:hAnsi="Times New Roman" w:cs="Times New Roman"/>
          <w:sz w:val="22"/>
          <w:szCs w:val="22"/>
          <w:lang w:eastAsia="zh-CN"/>
        </w:rPr>
        <w:t xml:space="preserve">acts as </w:t>
      </w:r>
      <w:r w:rsidRPr="4F442426">
        <w:rPr>
          <w:rFonts w:ascii="Times New Roman" w:eastAsia="Times New Roman" w:hAnsi="Times New Roman" w:cs="Times New Roman"/>
          <w:sz w:val="22"/>
          <w:szCs w:val="22"/>
          <w:lang w:eastAsia="zh-CN"/>
        </w:rPr>
        <w:t>a crucial component of indoor environments</w:t>
      </w:r>
      <w:r w:rsidR="0084328F" w:rsidRPr="4F442426">
        <w:rPr>
          <w:rFonts w:ascii="Times New Roman" w:eastAsia="Times New Roman" w:hAnsi="Times New Roman" w:cs="Times New Roman"/>
          <w:sz w:val="22"/>
          <w:szCs w:val="22"/>
          <w:lang w:eastAsia="zh-CN"/>
        </w:rPr>
        <w:t xml:space="preserve">. </w:t>
      </w:r>
      <w:r w:rsidR="00C02FD0">
        <w:rPr>
          <w:rFonts w:ascii="Times New Roman" w:hAnsi="Times New Roman" w:cs="Times New Roman" w:hint="eastAsia"/>
          <w:sz w:val="22"/>
          <w:szCs w:val="22"/>
          <w:lang w:eastAsia="zh-CN"/>
        </w:rPr>
        <w:t xml:space="preserve">Also, </w:t>
      </w:r>
      <w:r w:rsidR="00820472">
        <w:rPr>
          <w:rFonts w:ascii="Times New Roman" w:hAnsi="Times New Roman" w:cs="Times New Roman" w:hint="eastAsia"/>
          <w:sz w:val="22"/>
          <w:szCs w:val="22"/>
          <w:lang w:eastAsia="zh-CN"/>
        </w:rPr>
        <w:t>w</w:t>
      </w:r>
      <w:r w:rsidR="008312B7" w:rsidRPr="4F442426">
        <w:rPr>
          <w:rFonts w:ascii="Times New Roman" w:eastAsia="Times New Roman" w:hAnsi="Times New Roman" w:cs="Times New Roman"/>
          <w:sz w:val="22"/>
          <w:szCs w:val="22"/>
          <w:lang w:eastAsia="zh-CN"/>
        </w:rPr>
        <w:t>e</w:t>
      </w:r>
      <w:r w:rsidR="00C02FD0">
        <w:rPr>
          <w:rFonts w:ascii="Times New Roman" w:hAnsi="Times New Roman" w:cs="Times New Roman" w:hint="eastAsia"/>
          <w:sz w:val="22"/>
          <w:szCs w:val="22"/>
          <w:lang w:eastAsia="zh-CN"/>
        </w:rPr>
        <w:t xml:space="preserve"> could</w:t>
      </w:r>
      <w:r w:rsidR="008312B7" w:rsidRPr="4F442426">
        <w:rPr>
          <w:rFonts w:ascii="Times New Roman" w:eastAsia="Times New Roman" w:hAnsi="Times New Roman" w:cs="Times New Roman"/>
          <w:sz w:val="22"/>
          <w:szCs w:val="22"/>
          <w:lang w:eastAsia="zh-CN"/>
        </w:rPr>
        <w:t xml:space="preserve"> utilize </w:t>
      </w:r>
      <w:proofErr w:type="spellStart"/>
      <w:r w:rsidR="008312B7" w:rsidRPr="4F442426">
        <w:rPr>
          <w:rFonts w:ascii="Times New Roman" w:eastAsia="Times New Roman" w:hAnsi="Times New Roman" w:cs="Times New Roman"/>
          <w:sz w:val="22"/>
          <w:szCs w:val="22"/>
          <w:lang w:eastAsia="zh-CN"/>
        </w:rPr>
        <w:t>ClimateStudio</w:t>
      </w:r>
      <w:proofErr w:type="spellEnd"/>
      <w:r w:rsidR="008312B7" w:rsidRPr="4F442426">
        <w:rPr>
          <w:rFonts w:ascii="Times New Roman" w:eastAsia="Times New Roman" w:hAnsi="Times New Roman" w:cs="Times New Roman"/>
          <w:sz w:val="22"/>
          <w:szCs w:val="22"/>
          <w:lang w:eastAsia="zh-CN"/>
        </w:rPr>
        <w:t xml:space="preserve"> to </w:t>
      </w:r>
      <w:r w:rsidR="006B231C" w:rsidRPr="4F442426">
        <w:rPr>
          <w:rFonts w:ascii="Times New Roman" w:eastAsia="Times New Roman" w:hAnsi="Times New Roman" w:cs="Times New Roman"/>
          <w:sz w:val="22"/>
          <w:szCs w:val="22"/>
          <w:lang w:eastAsia="zh-CN"/>
        </w:rPr>
        <w:t>simulate</w:t>
      </w:r>
      <w:r w:rsidRPr="4F442426">
        <w:rPr>
          <w:rFonts w:ascii="Times New Roman" w:eastAsia="Times New Roman" w:hAnsi="Times New Roman" w:cs="Times New Roman"/>
          <w:sz w:val="22"/>
          <w:szCs w:val="22"/>
          <w:lang w:eastAsia="zh-CN"/>
        </w:rPr>
        <w:t xml:space="preserve"> comfort and energy consumption through relatively intuitive visualization methods. This provides a foundation for broader, more in-depth future research. The study first constructs a simulated lighting environment based on </w:t>
      </w:r>
      <w:r w:rsidR="003A5302" w:rsidRPr="4F442426">
        <w:rPr>
          <w:rFonts w:ascii="Times New Roman" w:eastAsia="Times New Roman" w:hAnsi="Times New Roman" w:cs="Times New Roman"/>
          <w:sz w:val="22"/>
          <w:szCs w:val="22"/>
          <w:lang w:eastAsia="zh-CN"/>
        </w:rPr>
        <w:t>the</w:t>
      </w:r>
      <w:r w:rsidRPr="4F442426">
        <w:rPr>
          <w:rFonts w:ascii="Times New Roman" w:eastAsia="Times New Roman" w:hAnsi="Times New Roman" w:cs="Times New Roman"/>
          <w:sz w:val="22"/>
          <w:szCs w:val="22"/>
          <w:lang w:eastAsia="zh-CN"/>
        </w:rPr>
        <w:t xml:space="preserve"> 3D building model</w:t>
      </w:r>
      <w:r w:rsidR="003A5302" w:rsidRPr="4F442426">
        <w:rPr>
          <w:rFonts w:ascii="Times New Roman" w:eastAsia="Times New Roman" w:hAnsi="Times New Roman" w:cs="Times New Roman"/>
          <w:sz w:val="22"/>
          <w:szCs w:val="22"/>
          <w:lang w:eastAsia="zh-CN"/>
        </w:rPr>
        <w:t xml:space="preserve"> of </w:t>
      </w:r>
      <w:r w:rsidR="006C0C9A" w:rsidRPr="4F442426">
        <w:rPr>
          <w:rFonts w:ascii="Times New Roman" w:eastAsia="Times New Roman" w:hAnsi="Times New Roman" w:cs="Times New Roman"/>
          <w:sz w:val="22"/>
          <w:szCs w:val="22"/>
          <w:lang w:eastAsia="zh-CN"/>
        </w:rPr>
        <w:t>a</w:t>
      </w:r>
      <w:r w:rsidR="00C557B2" w:rsidRPr="4F442426">
        <w:rPr>
          <w:rFonts w:ascii="Times New Roman" w:eastAsia="Times New Roman" w:hAnsi="Times New Roman" w:cs="Times New Roman"/>
          <w:sz w:val="22"/>
          <w:szCs w:val="22"/>
          <w:lang w:eastAsia="zh-CN"/>
        </w:rPr>
        <w:t xml:space="preserve"> real</w:t>
      </w:r>
      <w:r w:rsidR="003A5302" w:rsidRPr="4F442426">
        <w:rPr>
          <w:rFonts w:ascii="Times New Roman" w:eastAsia="Times New Roman" w:hAnsi="Times New Roman" w:cs="Times New Roman"/>
          <w:sz w:val="22"/>
          <w:szCs w:val="22"/>
          <w:lang w:eastAsia="zh-CN"/>
        </w:rPr>
        <w:t xml:space="preserve"> office room</w:t>
      </w:r>
      <w:r w:rsidRPr="4F442426">
        <w:rPr>
          <w:rFonts w:ascii="Times New Roman" w:eastAsia="Times New Roman" w:hAnsi="Times New Roman" w:cs="Times New Roman"/>
          <w:sz w:val="22"/>
          <w:szCs w:val="22"/>
          <w:lang w:eastAsia="zh-CN"/>
        </w:rPr>
        <w:t xml:space="preserve"> and </w:t>
      </w:r>
      <w:r w:rsidR="00C557B2" w:rsidRPr="4F442426">
        <w:rPr>
          <w:rFonts w:ascii="Times New Roman" w:eastAsia="Times New Roman" w:hAnsi="Times New Roman" w:cs="Times New Roman"/>
          <w:sz w:val="22"/>
          <w:szCs w:val="22"/>
          <w:lang w:eastAsia="zh-CN"/>
        </w:rPr>
        <w:t>random</w:t>
      </w:r>
      <w:r w:rsidR="00FD651B" w:rsidRPr="4F442426">
        <w:rPr>
          <w:rFonts w:ascii="Times New Roman" w:eastAsia="Times New Roman" w:hAnsi="Times New Roman" w:cs="Times New Roman"/>
          <w:sz w:val="22"/>
          <w:szCs w:val="22"/>
          <w:lang w:eastAsia="zh-CN"/>
        </w:rPr>
        <w:t xml:space="preserve"> </w:t>
      </w:r>
      <w:r w:rsidRPr="4F442426">
        <w:rPr>
          <w:rFonts w:ascii="Times New Roman" w:eastAsia="Times New Roman" w:hAnsi="Times New Roman" w:cs="Times New Roman"/>
          <w:sz w:val="22"/>
          <w:szCs w:val="22"/>
          <w:lang w:eastAsia="zh-CN"/>
        </w:rPr>
        <w:t xml:space="preserve">occupancy distribution data. The background system and PECS parameters are set as decision variables. An optimizer evaluates lighting energy consumption and visual comfort metrics to </w:t>
      </w:r>
      <w:r w:rsidRPr="4F442426">
        <w:rPr>
          <w:rFonts w:ascii="Times New Roman" w:eastAsia="Times New Roman" w:hAnsi="Times New Roman" w:cs="Times New Roman"/>
          <w:sz w:val="22"/>
          <w:szCs w:val="22"/>
          <w:lang w:eastAsia="zh-CN"/>
        </w:rPr>
        <w:t xml:space="preserve">generate optimal control strategies. Building upon this, the paper further </w:t>
      </w:r>
      <w:r w:rsidR="00DD629D" w:rsidRPr="4F442426">
        <w:rPr>
          <w:rFonts w:ascii="Times New Roman" w:eastAsia="Times New Roman" w:hAnsi="Times New Roman" w:cs="Times New Roman"/>
          <w:sz w:val="22"/>
          <w:szCs w:val="22"/>
          <w:lang w:eastAsia="zh-CN"/>
        </w:rPr>
        <w:t>combines</w:t>
      </w:r>
      <w:r w:rsidRPr="4F442426">
        <w:rPr>
          <w:rFonts w:ascii="Times New Roman" w:eastAsia="Times New Roman" w:hAnsi="Times New Roman" w:cs="Times New Roman"/>
          <w:sz w:val="22"/>
          <w:szCs w:val="22"/>
          <w:lang w:eastAsia="zh-CN"/>
        </w:rPr>
        <w:t xml:space="preserve"> optimization results under multiple occupancy distributions to construct training </w:t>
      </w:r>
      <w:r w:rsidR="00DD629D" w:rsidRPr="4F442426">
        <w:rPr>
          <w:rFonts w:ascii="Times New Roman" w:eastAsia="Times New Roman" w:hAnsi="Times New Roman" w:cs="Times New Roman"/>
          <w:sz w:val="22"/>
          <w:szCs w:val="22"/>
          <w:lang w:eastAsia="zh-CN"/>
        </w:rPr>
        <w:t>dataset</w:t>
      </w:r>
      <w:r w:rsidR="008E6996" w:rsidRPr="4F442426">
        <w:rPr>
          <w:rFonts w:ascii="Times New Roman" w:eastAsia="Times New Roman" w:hAnsi="Times New Roman" w:cs="Times New Roman"/>
          <w:sz w:val="22"/>
          <w:szCs w:val="22"/>
          <w:lang w:eastAsia="zh-CN"/>
        </w:rPr>
        <w:t xml:space="preserve"> pairs</w:t>
      </w:r>
      <w:r w:rsidRPr="4F442426">
        <w:rPr>
          <w:rFonts w:ascii="Times New Roman" w:eastAsia="Times New Roman" w:hAnsi="Times New Roman" w:cs="Times New Roman"/>
          <w:sz w:val="22"/>
          <w:szCs w:val="22"/>
          <w:lang w:eastAsia="zh-CN"/>
        </w:rPr>
        <w:t xml:space="preserve">. An agent model is trained to </w:t>
      </w:r>
      <w:r w:rsidR="008E6996" w:rsidRPr="4F442426">
        <w:rPr>
          <w:rFonts w:ascii="Times New Roman" w:eastAsia="Times New Roman" w:hAnsi="Times New Roman" w:cs="Times New Roman"/>
          <w:sz w:val="22"/>
          <w:szCs w:val="22"/>
          <w:lang w:eastAsia="zh-CN"/>
        </w:rPr>
        <w:t>quickly and accurately</w:t>
      </w:r>
      <w:r w:rsidRPr="4F442426">
        <w:rPr>
          <w:rFonts w:ascii="Times New Roman" w:eastAsia="Times New Roman" w:hAnsi="Times New Roman" w:cs="Times New Roman"/>
          <w:sz w:val="22"/>
          <w:szCs w:val="22"/>
          <w:lang w:eastAsia="zh-CN"/>
        </w:rPr>
        <w:t xml:space="preserve"> predict optimal control strategies. Finally, case studies </w:t>
      </w:r>
      <w:r w:rsidR="001C2044" w:rsidRPr="4F442426">
        <w:rPr>
          <w:rFonts w:ascii="Times New Roman" w:eastAsia="Times New Roman" w:hAnsi="Times New Roman" w:cs="Times New Roman"/>
          <w:sz w:val="22"/>
          <w:szCs w:val="22"/>
          <w:lang w:eastAsia="zh-CN"/>
        </w:rPr>
        <w:t>use</w:t>
      </w:r>
      <w:r w:rsidRPr="4F442426">
        <w:rPr>
          <w:rFonts w:ascii="Times New Roman" w:eastAsia="Times New Roman" w:hAnsi="Times New Roman" w:cs="Times New Roman"/>
          <w:sz w:val="22"/>
          <w:szCs w:val="22"/>
          <w:lang w:eastAsia="zh-CN"/>
        </w:rPr>
        <w:t xml:space="preserve"> </w:t>
      </w:r>
      <w:r w:rsidR="005C13E4" w:rsidRPr="4F442426">
        <w:rPr>
          <w:rFonts w:ascii="Times New Roman" w:eastAsia="Times New Roman" w:hAnsi="Times New Roman" w:cs="Times New Roman"/>
          <w:sz w:val="22"/>
          <w:szCs w:val="22"/>
          <w:lang w:eastAsia="zh-CN"/>
        </w:rPr>
        <w:t>historical</w:t>
      </w:r>
      <w:r w:rsidRPr="4F442426">
        <w:rPr>
          <w:rFonts w:ascii="Times New Roman" w:eastAsia="Times New Roman" w:hAnsi="Times New Roman" w:cs="Times New Roman"/>
          <w:sz w:val="22"/>
          <w:szCs w:val="22"/>
          <w:lang w:eastAsia="zh-CN"/>
        </w:rPr>
        <w:t xml:space="preserve"> occupancy data from real office buildings </w:t>
      </w:r>
      <w:r w:rsidR="00F142C5" w:rsidRPr="4F442426">
        <w:rPr>
          <w:rFonts w:ascii="Times New Roman" w:eastAsia="Times New Roman" w:hAnsi="Times New Roman" w:cs="Times New Roman"/>
          <w:sz w:val="22"/>
          <w:szCs w:val="22"/>
          <w:lang w:eastAsia="zh-CN"/>
        </w:rPr>
        <w:t xml:space="preserve">to </w:t>
      </w:r>
      <w:r w:rsidRPr="4F442426">
        <w:rPr>
          <w:rFonts w:ascii="Times New Roman" w:eastAsia="Times New Roman" w:hAnsi="Times New Roman" w:cs="Times New Roman"/>
          <w:sz w:val="22"/>
          <w:szCs w:val="22"/>
          <w:lang w:eastAsia="zh-CN"/>
        </w:rPr>
        <w:t>compare energy consumption differences between traditional centralized control and the balanced control model.</w:t>
      </w:r>
    </w:p>
    <w:p w14:paraId="515372BF" w14:textId="2C315613" w:rsidR="0000614E" w:rsidRDefault="0000614E" w:rsidP="4F442426">
      <w:pPr>
        <w:spacing w:line="240" w:lineRule="auto"/>
        <w:jc w:val="both"/>
        <w:rPr>
          <w:rFonts w:ascii="Times New Roman" w:eastAsia="Times New Roman" w:hAnsi="Times New Roman" w:cs="Times New Roman"/>
          <w:sz w:val="22"/>
          <w:szCs w:val="22"/>
          <w:lang w:eastAsia="zh-CN"/>
        </w:rPr>
      </w:pPr>
      <w:r w:rsidRPr="4F442426">
        <w:rPr>
          <w:rFonts w:ascii="Times New Roman" w:eastAsia="Times New Roman" w:hAnsi="Times New Roman" w:cs="Times New Roman"/>
          <w:sz w:val="22"/>
          <w:szCs w:val="22"/>
          <w:lang w:eastAsia="zh-CN"/>
        </w:rPr>
        <w:t>Results indicate that, … TBD</w:t>
      </w:r>
      <w:r w:rsidR="00E6269A" w:rsidRPr="4F442426">
        <w:rPr>
          <w:rFonts w:ascii="Times New Roman" w:eastAsia="Times New Roman" w:hAnsi="Times New Roman" w:cs="Times New Roman"/>
          <w:sz w:val="22"/>
          <w:szCs w:val="22"/>
          <w:lang w:eastAsia="zh-CN"/>
        </w:rPr>
        <w:t xml:space="preserve"> Hopefully good :)</w:t>
      </w:r>
    </w:p>
    <w:p w14:paraId="1712B4A1" w14:textId="77777777" w:rsidR="001C2044" w:rsidRDefault="001C2044" w:rsidP="4F442426">
      <w:pPr>
        <w:spacing w:line="240" w:lineRule="auto"/>
        <w:jc w:val="both"/>
        <w:rPr>
          <w:rFonts w:ascii="Times New Roman" w:eastAsia="Times New Roman" w:hAnsi="Times New Roman" w:cs="Times New Roman"/>
          <w:sz w:val="22"/>
          <w:szCs w:val="22"/>
          <w:lang w:eastAsia="zh-CN"/>
        </w:rPr>
      </w:pPr>
    </w:p>
    <w:p w14:paraId="598A5604" w14:textId="6D95A029" w:rsidR="00D57312" w:rsidRPr="001C2044" w:rsidRDefault="001C2044" w:rsidP="4F442426">
      <w:pPr>
        <w:spacing w:line="240" w:lineRule="auto"/>
        <w:jc w:val="both"/>
        <w:rPr>
          <w:rFonts w:ascii="Times New Roman" w:eastAsia="Times New Roman" w:hAnsi="Times New Roman" w:cs="Times New Roman"/>
          <w:b/>
          <w:bCs/>
          <w:sz w:val="22"/>
          <w:szCs w:val="22"/>
          <w:lang w:eastAsia="zh-CN"/>
        </w:rPr>
      </w:pPr>
      <w:r w:rsidRPr="001C2044">
        <w:rPr>
          <w:rFonts w:ascii="Times New Roman" w:eastAsia="Times New Roman" w:hAnsi="Times New Roman" w:cs="Times New Roman"/>
          <w:b/>
          <w:bCs/>
          <w:sz w:val="22"/>
          <w:szCs w:val="22"/>
          <w:lang w:eastAsia="zh-CN"/>
        </w:rPr>
        <w:t>KEYWORDS</w:t>
      </w:r>
      <w:r w:rsidR="000806AC" w:rsidRPr="001C2044">
        <w:rPr>
          <w:rFonts w:ascii="Times New Roman" w:eastAsia="Times New Roman" w:hAnsi="Times New Roman" w:cs="Times New Roman"/>
          <w:b/>
          <w:bCs/>
          <w:sz w:val="22"/>
          <w:szCs w:val="22"/>
          <w:lang w:eastAsia="zh-CN"/>
        </w:rPr>
        <w:t xml:space="preserve"> </w:t>
      </w:r>
    </w:p>
    <w:p w14:paraId="2748E46C" w14:textId="2B1BABF6" w:rsidR="00E6269A" w:rsidRDefault="000806AC" w:rsidP="4F442426">
      <w:pPr>
        <w:spacing w:line="240" w:lineRule="auto"/>
        <w:jc w:val="both"/>
        <w:rPr>
          <w:rFonts w:ascii="Times New Roman" w:eastAsia="Times New Roman" w:hAnsi="Times New Roman" w:cs="Times New Roman"/>
          <w:sz w:val="22"/>
          <w:szCs w:val="22"/>
          <w:lang w:eastAsia="zh-CN"/>
        </w:rPr>
      </w:pPr>
      <w:r w:rsidRPr="00D57312">
        <w:rPr>
          <w:rFonts w:ascii="Times New Roman" w:eastAsia="Times New Roman" w:hAnsi="Times New Roman" w:cs="Times New Roman"/>
          <w:sz w:val="22"/>
          <w:szCs w:val="22"/>
          <w:lang w:eastAsia="zh-CN"/>
        </w:rPr>
        <w:t xml:space="preserve">Indoor </w:t>
      </w:r>
      <w:r w:rsidR="002D5BEB" w:rsidRPr="00D57312">
        <w:rPr>
          <w:rFonts w:ascii="Times New Roman" w:eastAsia="Times New Roman" w:hAnsi="Times New Roman" w:cs="Times New Roman"/>
          <w:sz w:val="22"/>
          <w:szCs w:val="22"/>
          <w:lang w:eastAsia="zh-CN"/>
        </w:rPr>
        <w:t xml:space="preserve">lighting </w:t>
      </w:r>
      <w:r w:rsidR="00A93048" w:rsidRPr="00D57312">
        <w:rPr>
          <w:rFonts w:ascii="Times New Roman" w:eastAsia="Times New Roman" w:hAnsi="Times New Roman" w:cs="Times New Roman"/>
          <w:sz w:val="22"/>
          <w:szCs w:val="22"/>
          <w:lang w:eastAsia="zh-CN"/>
        </w:rPr>
        <w:t>comfort</w:t>
      </w:r>
      <w:r w:rsidR="001C2044">
        <w:rPr>
          <w:rFonts w:ascii="Times New Roman" w:eastAsia="Times New Roman" w:hAnsi="Times New Roman" w:cs="Times New Roman"/>
          <w:sz w:val="22"/>
          <w:szCs w:val="22"/>
          <w:lang w:eastAsia="zh-CN"/>
        </w:rPr>
        <w:t>;</w:t>
      </w:r>
      <w:r w:rsidR="002D5BEB" w:rsidRPr="00D57312">
        <w:rPr>
          <w:rFonts w:ascii="Times New Roman" w:eastAsia="Times New Roman" w:hAnsi="Times New Roman" w:cs="Times New Roman"/>
          <w:sz w:val="22"/>
          <w:szCs w:val="22"/>
          <w:lang w:eastAsia="zh-CN"/>
        </w:rPr>
        <w:t xml:space="preserve"> PECS </w:t>
      </w:r>
      <w:r w:rsidR="007D228B">
        <w:rPr>
          <w:rFonts w:ascii="Times New Roman" w:eastAsia="Times New Roman" w:hAnsi="Times New Roman" w:cs="Times New Roman"/>
          <w:sz w:val="22"/>
          <w:szCs w:val="22"/>
          <w:lang w:eastAsia="zh-CN"/>
        </w:rPr>
        <w:t>&amp;</w:t>
      </w:r>
      <w:r w:rsidR="002D5BEB" w:rsidRPr="00D57312">
        <w:rPr>
          <w:rFonts w:ascii="Times New Roman" w:eastAsia="Times New Roman" w:hAnsi="Times New Roman" w:cs="Times New Roman"/>
          <w:sz w:val="22"/>
          <w:szCs w:val="22"/>
          <w:lang w:eastAsia="zh-CN"/>
        </w:rPr>
        <w:t xml:space="preserve"> </w:t>
      </w:r>
      <w:r w:rsidR="005265AB">
        <w:rPr>
          <w:rFonts w:ascii="Times New Roman" w:hAnsi="Times New Roman" w:cs="Times New Roman" w:hint="eastAsia"/>
          <w:sz w:val="22"/>
          <w:szCs w:val="22"/>
          <w:lang w:eastAsia="zh-CN"/>
        </w:rPr>
        <w:t>B</w:t>
      </w:r>
      <w:r w:rsidR="002D5BEB" w:rsidRPr="00D57312">
        <w:rPr>
          <w:rFonts w:ascii="Times New Roman" w:eastAsia="Times New Roman" w:hAnsi="Times New Roman" w:cs="Times New Roman"/>
          <w:sz w:val="22"/>
          <w:szCs w:val="22"/>
          <w:lang w:eastAsia="zh-CN"/>
        </w:rPr>
        <w:t>ackground control</w:t>
      </w:r>
      <w:r w:rsidR="001C2044">
        <w:rPr>
          <w:rFonts w:ascii="Times New Roman" w:eastAsia="Times New Roman" w:hAnsi="Times New Roman" w:cs="Times New Roman"/>
          <w:sz w:val="22"/>
          <w:szCs w:val="22"/>
          <w:lang w:eastAsia="zh-CN"/>
        </w:rPr>
        <w:t>;</w:t>
      </w:r>
      <w:r w:rsidR="002D5BEB" w:rsidRPr="00D57312">
        <w:rPr>
          <w:rFonts w:ascii="Times New Roman" w:eastAsia="Times New Roman" w:hAnsi="Times New Roman" w:cs="Times New Roman"/>
          <w:sz w:val="22"/>
          <w:szCs w:val="22"/>
          <w:lang w:eastAsia="zh-CN"/>
        </w:rPr>
        <w:t xml:space="preserve"> </w:t>
      </w:r>
      <w:r w:rsidR="005265AB">
        <w:rPr>
          <w:rFonts w:ascii="Times New Roman" w:hAnsi="Times New Roman" w:cs="Times New Roman" w:hint="eastAsia"/>
          <w:sz w:val="22"/>
          <w:szCs w:val="22"/>
          <w:lang w:eastAsia="zh-CN"/>
        </w:rPr>
        <w:t>E</w:t>
      </w:r>
      <w:r w:rsidR="00A93048" w:rsidRPr="00D57312">
        <w:rPr>
          <w:rFonts w:ascii="Times New Roman" w:eastAsia="Times New Roman" w:hAnsi="Times New Roman" w:cs="Times New Roman"/>
          <w:sz w:val="22"/>
          <w:szCs w:val="22"/>
          <w:lang w:eastAsia="zh-CN"/>
        </w:rPr>
        <w:t>nergy saving</w:t>
      </w:r>
      <w:r w:rsidR="001C2044">
        <w:rPr>
          <w:rFonts w:ascii="Times New Roman" w:eastAsia="Times New Roman" w:hAnsi="Times New Roman" w:cs="Times New Roman"/>
          <w:sz w:val="22"/>
          <w:szCs w:val="22"/>
          <w:lang w:eastAsia="zh-CN"/>
        </w:rPr>
        <w:t>;</w:t>
      </w:r>
      <w:r w:rsidR="002F06E1" w:rsidRPr="00D57312">
        <w:rPr>
          <w:rFonts w:ascii="Times New Roman" w:eastAsia="Times New Roman" w:hAnsi="Times New Roman" w:cs="Times New Roman"/>
          <w:sz w:val="22"/>
          <w:szCs w:val="22"/>
          <w:lang w:eastAsia="zh-CN"/>
        </w:rPr>
        <w:t xml:space="preserve"> </w:t>
      </w:r>
      <w:r w:rsidR="005265AB">
        <w:rPr>
          <w:rFonts w:ascii="Times New Roman" w:hAnsi="Times New Roman" w:cs="Times New Roman" w:hint="eastAsia"/>
          <w:sz w:val="22"/>
          <w:szCs w:val="22"/>
          <w:lang w:eastAsia="zh-CN"/>
        </w:rPr>
        <w:t>M</w:t>
      </w:r>
      <w:r w:rsidR="002F06E1" w:rsidRPr="00D57312">
        <w:rPr>
          <w:rFonts w:ascii="Times New Roman" w:eastAsia="Times New Roman" w:hAnsi="Times New Roman" w:cs="Times New Roman"/>
          <w:sz w:val="22"/>
          <w:szCs w:val="22"/>
          <w:lang w:eastAsia="zh-CN"/>
        </w:rPr>
        <w:t>ulti-object optimization</w:t>
      </w:r>
      <w:r w:rsidR="001C2044">
        <w:rPr>
          <w:rFonts w:ascii="Times New Roman" w:eastAsia="Times New Roman" w:hAnsi="Times New Roman" w:cs="Times New Roman"/>
          <w:sz w:val="22"/>
          <w:szCs w:val="22"/>
          <w:lang w:eastAsia="zh-CN"/>
        </w:rPr>
        <w:t>;</w:t>
      </w:r>
      <w:r w:rsidR="00FF6C5A" w:rsidRPr="00D57312">
        <w:rPr>
          <w:rFonts w:ascii="Times New Roman" w:eastAsia="Times New Roman" w:hAnsi="Times New Roman" w:cs="Times New Roman"/>
          <w:sz w:val="22"/>
          <w:szCs w:val="22"/>
          <w:lang w:eastAsia="zh-CN"/>
        </w:rPr>
        <w:t xml:space="preserve"> </w:t>
      </w:r>
      <w:r w:rsidR="005265AB">
        <w:rPr>
          <w:rFonts w:ascii="Times New Roman" w:hAnsi="Times New Roman" w:cs="Times New Roman" w:hint="eastAsia"/>
          <w:sz w:val="22"/>
          <w:szCs w:val="22"/>
          <w:lang w:eastAsia="zh-CN"/>
        </w:rPr>
        <w:t>S</w:t>
      </w:r>
      <w:r w:rsidR="002F06E1" w:rsidRPr="00D57312">
        <w:rPr>
          <w:rFonts w:ascii="Times New Roman" w:eastAsia="Times New Roman" w:hAnsi="Times New Roman" w:cs="Times New Roman"/>
          <w:sz w:val="22"/>
          <w:szCs w:val="22"/>
          <w:lang w:eastAsia="zh-CN"/>
        </w:rPr>
        <w:t>urrogate model</w:t>
      </w:r>
    </w:p>
    <w:p w14:paraId="2AE8CE59" w14:textId="77777777" w:rsidR="001C2044" w:rsidRDefault="001C2044" w:rsidP="4F442426">
      <w:pPr>
        <w:spacing w:line="240" w:lineRule="auto"/>
        <w:jc w:val="both"/>
        <w:rPr>
          <w:rFonts w:ascii="Times New Roman" w:eastAsia="Times New Roman" w:hAnsi="Times New Roman" w:cs="Times New Roman"/>
          <w:sz w:val="22"/>
          <w:szCs w:val="22"/>
          <w:lang w:eastAsia="zh-CN"/>
        </w:rPr>
      </w:pPr>
    </w:p>
    <w:p w14:paraId="1AE32F6C" w14:textId="4CCC4C32" w:rsidR="00966639" w:rsidRPr="005B1FEF" w:rsidRDefault="00966639" w:rsidP="009C24A4">
      <w:pPr>
        <w:spacing w:line="240" w:lineRule="auto"/>
        <w:rPr>
          <w:rFonts w:ascii="Times New Roman" w:eastAsia="Times New Roman" w:hAnsi="Times New Roman" w:cs="Times New Roman"/>
          <w:b/>
          <w:bCs/>
          <w:sz w:val="22"/>
          <w:szCs w:val="22"/>
          <w:lang w:eastAsia="zh-CN"/>
        </w:rPr>
      </w:pPr>
      <w:r w:rsidRPr="4F442426">
        <w:rPr>
          <w:rFonts w:ascii="Times New Roman" w:eastAsia="Times New Roman" w:hAnsi="Times New Roman" w:cs="Times New Roman"/>
          <w:b/>
          <w:bCs/>
          <w:sz w:val="22"/>
          <w:szCs w:val="22"/>
        </w:rPr>
        <w:t>I</w:t>
      </w:r>
      <w:r w:rsidR="009C24A4">
        <w:rPr>
          <w:rFonts w:ascii="Times New Roman" w:eastAsia="Times New Roman" w:hAnsi="Times New Roman" w:cs="Times New Roman"/>
          <w:b/>
          <w:bCs/>
          <w:sz w:val="22"/>
          <w:szCs w:val="22"/>
        </w:rPr>
        <w:t>NTRODUCTION &amp; LITERATURE REVIEW</w:t>
      </w:r>
    </w:p>
    <w:p w14:paraId="7930F720" w14:textId="3B49E0E3" w:rsidR="001720BF" w:rsidRPr="001720BF" w:rsidRDefault="001720BF"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In smart building performance research, balancing lighting system energy optimization with visual comfort remains a critical issue in building environmental control. Lighting not only directly impacts occupants' visual perception and work efficiency but also accounts for a significant proportion of overall building energy consumption. As building intelligence advances, traditional centrally controlled background lighting systems increasingly struggle to meet diverse occupant needs. Concurrently, </w:t>
      </w:r>
      <w:r w:rsidRPr="4F442426">
        <w:rPr>
          <w:rFonts w:ascii="Times New Roman" w:eastAsia="Times New Roman" w:hAnsi="Times New Roman" w:cs="Times New Roman"/>
          <w:sz w:val="22"/>
          <w:szCs w:val="22"/>
          <w:lang w:val="en-SG" w:eastAsia="zh-CN"/>
        </w:rPr>
        <w:lastRenderedPageBreak/>
        <w:t xml:space="preserve">Personalized Environmental Control Systems (PECS) have been introduced into office and educational spaces, enabling individuals to actively adjust their local microenvironments—such as task lighting and radiant temperatures—to enhance comfort and satisfaction </w:t>
      </w:r>
      <w:r w:rsidRPr="4F442426">
        <w:rPr>
          <w:rFonts w:ascii="Arial Nova" w:hAnsi="Arial Nova" w:cs="Arial Nova"/>
          <w:sz w:val="22"/>
          <w:szCs w:val="22"/>
          <w:lang w:val="en-SG" w:eastAsia="zh-CN"/>
        </w:rPr>
        <w:fldChar w:fldCharType="begin"/>
      </w:r>
      <w:r w:rsidRPr="4F442426">
        <w:rPr>
          <w:rFonts w:ascii="Arial Nova" w:hAnsi="Arial Nova" w:cs="Arial Nova"/>
          <w:sz w:val="22"/>
          <w:szCs w:val="22"/>
          <w:lang w:val="en-SG" w:eastAsia="zh-CN"/>
        </w:rPr>
        <w:instrText xml:space="preserve"> ADDIN ZOTERO_ITEM CSL_CITATION {"citationID":"FNZJhGpH","properties":{"formattedCitation":"(De Korte et al., 2015)","plainCitation":"(De Korte et al., 2015)","noteIndex":0},"citationItems":[{"id":4932,"uris":["http://zotero.org/users/13485095/items/DX43D4YD"],"itemData":{"id":4932,"type":"article-journal","abstract":"The effects of pre-set environmental conditions of temperature and lighting on the preferred personal settings, comfort experience and task performance of of</w:instrText>
      </w:r>
      <w:r w:rsidRPr="4F442426">
        <w:rPr>
          <w:rFonts w:ascii="Arial" w:hAnsi="Arial" w:cs="Arial"/>
          <w:sz w:val="22"/>
          <w:szCs w:val="22"/>
          <w:lang w:val="en-SG" w:eastAsia="zh-CN"/>
        </w:rPr>
        <w:instrText>ﬁ</w:instrText>
      </w:r>
      <w:r w:rsidRPr="4F442426">
        <w:rPr>
          <w:rFonts w:ascii="Arial Nova" w:hAnsi="Arial Nova" w:cs="Arial Nova"/>
          <w:sz w:val="22"/>
          <w:szCs w:val="22"/>
          <w:lang w:val="en-SG" w:eastAsia="zh-CN"/>
        </w:rPr>
        <w:instrText>ce workers were investigated in an individually controlled workstation. Twenty subjects performed standardized tasks at a prototype workstation with individually controlled radiant heating and lighting in a climate room. In a repeated measures design, their adjustments to pre-set values were evaluated: low and high radiant heating power, low and high direct illuminance, low and high indirect illuminance. Results showed that preferred personal settings are dependent on the initial, pre-set values of radiant heating power and illuminance. Higher pre-set values result in higher adjusted operative temperatures and higher illuminances on desk, although the differences for heating were too small to show a convincing effect. After adjustment, visual comfort was higher, but it was not dependent of the pre-set values. For thermal comfort no differences were found. Individual task performance was not negatively affected. Providing personal environmental control and the way these concepts and interfaces are designed, play a signi</w:instrText>
      </w:r>
      <w:r w:rsidRPr="4F442426">
        <w:rPr>
          <w:rFonts w:ascii="Arial" w:hAnsi="Arial" w:cs="Arial"/>
          <w:sz w:val="22"/>
          <w:szCs w:val="22"/>
          <w:lang w:val="en-SG" w:eastAsia="zh-CN"/>
        </w:rPr>
        <w:instrText>ﬁ</w:instrText>
      </w:r>
      <w:r w:rsidRPr="4F442426">
        <w:rPr>
          <w:rFonts w:ascii="Arial Nova" w:hAnsi="Arial Nova" w:cs="Arial Nova"/>
          <w:sz w:val="22"/>
          <w:szCs w:val="22"/>
          <w:lang w:val="en-SG" w:eastAsia="zh-CN"/>
        </w:rPr>
        <w:instrText>cant role in user behavior and preferences. The design and control of individually controlled workstations as well as the interaction with the general level of the of</w:instrText>
      </w:r>
      <w:r w:rsidRPr="4F442426">
        <w:rPr>
          <w:rFonts w:ascii="Arial" w:hAnsi="Arial" w:cs="Arial"/>
          <w:sz w:val="22"/>
          <w:szCs w:val="22"/>
          <w:lang w:val="en-SG" w:eastAsia="zh-CN"/>
        </w:rPr>
        <w:instrText>ﬁ</w:instrText>
      </w:r>
      <w:r w:rsidRPr="4F442426">
        <w:rPr>
          <w:rFonts w:ascii="Arial Nova" w:hAnsi="Arial Nova" w:cs="Arial Nova"/>
          <w:sz w:val="22"/>
          <w:szCs w:val="22"/>
          <w:lang w:val="en-SG" w:eastAsia="zh-CN"/>
        </w:rPr>
        <w:instrText>ce environment should be carefully considered in order to obtain maximum comfort and energy ef</w:instrText>
      </w:r>
      <w:r w:rsidRPr="4F442426">
        <w:rPr>
          <w:rFonts w:ascii="Arial" w:hAnsi="Arial" w:cs="Arial"/>
          <w:sz w:val="22"/>
          <w:szCs w:val="22"/>
          <w:lang w:val="en-SG" w:eastAsia="zh-CN"/>
        </w:rPr>
        <w:instrText>ﬁ</w:instrText>
      </w:r>
      <w:r w:rsidRPr="4F442426">
        <w:rPr>
          <w:rFonts w:ascii="Arial Nova" w:hAnsi="Arial Nova" w:cs="Arial Nova"/>
          <w:sz w:val="22"/>
          <w:szCs w:val="22"/>
          <w:lang w:val="en-SG" w:eastAsia="zh-CN"/>
        </w:rPr>
        <w:instrText xml:space="preserve">ciency.","container-title":"Building and Environment","DOI":"10.1016/j.buildenv.2015.01.002","ISSN":"03601323","journalAbbreviation":"Building and Environment","language":"en","page":"166-176","source":"DOI.org (Crossref)","title":"Personal environmental control: Effects of pre-set conditions for heating and lighting on personal settings, task performance and comfort experience","title-short":"Personal environmental control","volume":"86","author":[{"family":"De Korte","given":"Elsbeth M."},{"family":"Spiekman","given":"Marleen"},{"family":"Hoes-van Oeffelen","given":"Linda"},{"family":"Van Der Zande","given":"Bianca"},{"family":"Vissenberg","given":"Gilles"},{"family":"Huiskes","given":"Gerard"},{"family":"Kuijt-Evers","given":"Lottie F.M."}],"issued":{"date-parts":[["2015",4]]}}}],"schema":"https://github.com/citation-style-language/schema/raw/master/csl-citation.json"} </w:instrText>
      </w:r>
      <w:r w:rsidRPr="4F442426">
        <w:rPr>
          <w:rFonts w:ascii="Arial Nova" w:hAnsi="Arial Nova" w:cs="Arial Nova"/>
          <w:sz w:val="22"/>
          <w:szCs w:val="22"/>
          <w:lang w:val="en-SG" w:eastAsia="zh-CN"/>
        </w:rPr>
        <w:fldChar w:fldCharType="separate"/>
      </w:r>
      <w:r w:rsidR="00365367" w:rsidRPr="4F442426">
        <w:rPr>
          <w:rFonts w:ascii="Times New Roman" w:eastAsia="Times New Roman" w:hAnsi="Times New Roman" w:cs="Times New Roman"/>
          <w:sz w:val="22"/>
          <w:szCs w:val="22"/>
        </w:rPr>
        <w:t>(De Korte et al., 2015)</w:t>
      </w:r>
      <w:r w:rsidRPr="4F442426">
        <w:rPr>
          <w:rFonts w:ascii="Arial Nova" w:hAnsi="Arial Nova" w:cs="Arial Nova"/>
          <w:sz w:val="22"/>
          <w:szCs w:val="22"/>
          <w:lang w:val="en-SG" w:eastAsia="zh-CN"/>
        </w:rPr>
        <w:fldChar w:fldCharType="end"/>
      </w:r>
      <w:r w:rsidRPr="4F442426">
        <w:rPr>
          <w:rFonts w:ascii="Times New Roman" w:eastAsia="Times New Roman" w:hAnsi="Times New Roman" w:cs="Times New Roman"/>
          <w:sz w:val="22"/>
          <w:szCs w:val="22"/>
          <w:lang w:val="en-SG" w:eastAsia="zh-CN"/>
        </w:rPr>
        <w:t>. However, current building lighting control strategies remain predominantly centralized, lacking systematic research on the synergistic relationship between PECS and background systems.</w:t>
      </w:r>
    </w:p>
    <w:p w14:paraId="2978BCE0" w14:textId="61269BD4" w:rsidR="001720BF" w:rsidRPr="001720BF" w:rsidRDefault="001720BF"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In real-world office environments, occupancy exhibits highly dynamic temporal and spatial characteristics. Changes in occupancy density, distribution, and dwell time directly influence building energy consumption patterns and lighting demands</w:t>
      </w:r>
      <w:r w:rsidR="006417B3" w:rsidRPr="4F442426">
        <w:rPr>
          <w:rFonts w:ascii="Times New Roman" w:eastAsia="Times New Roman" w:hAnsi="Times New Roman" w:cs="Times New Roman"/>
          <w:sz w:val="22"/>
          <w:szCs w:val="22"/>
          <w:lang w:val="en-SG" w:eastAsia="zh-CN"/>
        </w:rPr>
        <w:t xml:space="preserve"> </w:t>
      </w:r>
      <w:r w:rsidRPr="4F442426">
        <w:rPr>
          <w:rFonts w:ascii="Arial Nova" w:hAnsi="Arial Nova" w:cs="Arial Nova"/>
          <w:sz w:val="22"/>
          <w:szCs w:val="22"/>
          <w:lang w:val="en-SG" w:eastAsia="zh-CN"/>
        </w:rPr>
        <w:fldChar w:fldCharType="begin"/>
      </w:r>
      <w:r w:rsidRPr="4F442426">
        <w:rPr>
          <w:rFonts w:ascii="Arial Nova" w:hAnsi="Arial Nova" w:cs="Arial Nova"/>
          <w:sz w:val="22"/>
          <w:szCs w:val="22"/>
          <w:lang w:val="en-SG" w:eastAsia="zh-CN"/>
        </w:rPr>
        <w:instrText xml:space="preserve"> ADDIN ZOTERO_ITEM CSL_CITATION {"citationID":"8XxWM0nw","properties":{"formattedCitation":"(Tekler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rsidRPr="4F442426">
        <w:rPr>
          <w:rFonts w:ascii="Arial Nova" w:hAnsi="Arial Nova" w:cs="Arial Nova"/>
          <w:sz w:val="22"/>
          <w:szCs w:val="22"/>
          <w:lang w:val="en-SG" w:eastAsia="zh-CN"/>
        </w:rPr>
        <w:fldChar w:fldCharType="separate"/>
      </w:r>
      <w:r w:rsidR="006417B3" w:rsidRPr="4F442426">
        <w:rPr>
          <w:rFonts w:ascii="Times New Roman" w:eastAsia="Times New Roman" w:hAnsi="Times New Roman" w:cs="Times New Roman"/>
          <w:sz w:val="22"/>
          <w:szCs w:val="22"/>
        </w:rPr>
        <w:t>(Tekler et al., 2022)</w:t>
      </w:r>
      <w:r w:rsidRPr="4F442426">
        <w:rPr>
          <w:rFonts w:ascii="Arial Nova" w:hAnsi="Arial Nova" w:cs="Arial Nova"/>
          <w:sz w:val="22"/>
          <w:szCs w:val="22"/>
          <w:lang w:val="en-SG" w:eastAsia="zh-CN"/>
        </w:rPr>
        <w:fldChar w:fldCharType="end"/>
      </w:r>
      <w:r w:rsidRPr="4F442426">
        <w:rPr>
          <w:rFonts w:ascii="Times New Roman" w:eastAsia="Times New Roman" w:hAnsi="Times New Roman" w:cs="Times New Roman"/>
          <w:sz w:val="22"/>
          <w:szCs w:val="22"/>
          <w:lang w:val="en-SG" w:eastAsia="zh-CN"/>
        </w:rPr>
        <w:t xml:space="preserve">. If lighting systems fail to flexibly adjust to occupancy variations, issues like “localized over-illumination” or “energy waste” readily occur. Existing research often focuses on optimizing individual systems, such as adjusting central lighting based on occupant counts </w:t>
      </w:r>
      <w:r w:rsidRPr="4F442426">
        <w:rPr>
          <w:rFonts w:ascii="Arial Nova" w:hAnsi="Arial Nova" w:cs="Arial Nova"/>
          <w:sz w:val="22"/>
          <w:szCs w:val="22"/>
          <w:lang w:val="en-SG" w:eastAsia="zh-CN"/>
        </w:rPr>
        <w:fldChar w:fldCharType="begin"/>
      </w:r>
      <w:r w:rsidRPr="4F442426">
        <w:rPr>
          <w:rFonts w:ascii="Arial Nova" w:hAnsi="Arial Nova" w:cs="Arial Nova"/>
          <w:sz w:val="22"/>
          <w:szCs w:val="22"/>
          <w:lang w:val="en-SG" w:eastAsia="zh-CN"/>
        </w:rPr>
        <w:instrText xml:space="preserve"> ADDIN ZOTERO_ITEM CSL_CITATION {"citationID":"ncUTh5zi","properties":{"formattedCitation":"(Lesina Debiasi, 2020)","plainCitation":"(Lesina Debiasi, 2020)","noteIndex":0},"citationItems":[{"id":15,"uris":["http://zotero.org/users/13485095/items/35R78C5F"],"itemData":{"id":15,"type":"thesis","abstract":"Comfort in workspace lighting is hard to define. In recent years \"smart hardware\" has enabled personalized control in lighting. Provided interfaces, however are often forcibly tying the ephemeral nature of light and personal preference into a simplified interface. In this thesis, three new paradigms are proposed, emphasizing on personalization through sensing and matching preferred light to a given workplace task. Firstly a study attempts to find correlations between semiotic meaning and task on different media trying to establish pipeline for interaction. In a second example, the experience itself becomes the most essential part and is thus framed around the question, to whether sufficient knowledge of preference can be matched to nearby workplaces through methods oflearning. Thirdly in a personalized lighting setup, a microcontroller, equipped with a camera, uses image recognition algorithms tracking movement and pose of people in the room adjusting lighting condition to suit a given task. In summary, this thesis poses the question: how can personalized lighting rethought, to better allow for tasks in workplace environments?","genre":"Thesis","language":"en","license":"MIT theses may be protected by copyright. Please reuse MIT thesis content according to the MIT Libraries Permissions Policy, which is available through the URL provided.","note":"Accepted: 2021-03-22T17:05:25Z\njournalAbbreviation: Rethinking colored lighting in workplace environments","publisher":"Massachusetts Institute of Technology","source":"dspace.mit.edu","title":"Illuminating Preference:  Rethinking Colored Lighting in Workplace Environments","title-short":"Illuminating preference","URL":"https://dspace.mit.edu/handle/1721.1/130183","author":[{"family":"Lesina Debiasi","given":"Lukas"}],"accessed":{"date-parts":[["2025",9,29]]},"issued":{"date-parts":[["2020"]]}}}],"schema":"https://github.com/citation-style-language/schema/raw/master/csl-citation.json"} </w:instrText>
      </w:r>
      <w:r w:rsidRPr="4F442426">
        <w:rPr>
          <w:rFonts w:ascii="Arial Nova" w:hAnsi="Arial Nova" w:cs="Arial Nova"/>
          <w:sz w:val="22"/>
          <w:szCs w:val="22"/>
          <w:lang w:val="en-SG" w:eastAsia="zh-CN"/>
        </w:rPr>
        <w:fldChar w:fldCharType="separate"/>
      </w:r>
      <w:r w:rsidR="006417B3" w:rsidRPr="4F442426">
        <w:rPr>
          <w:rFonts w:ascii="Times New Roman" w:eastAsia="Times New Roman" w:hAnsi="Times New Roman" w:cs="Times New Roman"/>
          <w:sz w:val="22"/>
          <w:szCs w:val="22"/>
        </w:rPr>
        <w:t>(Lesina Debiasi, 2020)</w:t>
      </w:r>
      <w:r w:rsidRPr="4F442426">
        <w:rPr>
          <w:rFonts w:ascii="Arial Nova" w:hAnsi="Arial Nova" w:cs="Arial Nova"/>
          <w:sz w:val="22"/>
          <w:szCs w:val="22"/>
          <w:lang w:val="en-SG" w:eastAsia="zh-CN"/>
        </w:rPr>
        <w:fldChar w:fldCharType="end"/>
      </w:r>
      <w:r w:rsidR="006417B3" w:rsidRPr="4F442426">
        <w:rPr>
          <w:rFonts w:ascii="Times New Roman" w:eastAsia="Times New Roman" w:hAnsi="Times New Roman" w:cs="Times New Roman"/>
          <w:sz w:val="22"/>
          <w:szCs w:val="22"/>
          <w:lang w:val="en-SG" w:eastAsia="zh-CN"/>
        </w:rPr>
        <w:t xml:space="preserve"> </w:t>
      </w:r>
      <w:r w:rsidRPr="4F442426">
        <w:rPr>
          <w:rFonts w:ascii="Times New Roman" w:eastAsia="Times New Roman" w:hAnsi="Times New Roman" w:cs="Times New Roman"/>
          <w:sz w:val="22"/>
          <w:szCs w:val="22"/>
          <w:lang w:val="en-SG" w:eastAsia="zh-CN"/>
        </w:rPr>
        <w:t xml:space="preserve">or evaluating PECS usage preferences and effectiveness </w:t>
      </w:r>
      <w:r w:rsidRPr="4F442426">
        <w:rPr>
          <w:rFonts w:ascii="Arial Nova" w:hAnsi="Arial Nova" w:cs="Arial Nova"/>
          <w:sz w:val="22"/>
          <w:szCs w:val="22"/>
          <w:lang w:val="en-SG" w:eastAsia="zh-CN"/>
        </w:rPr>
        <w:fldChar w:fldCharType="begin"/>
      </w:r>
      <w:r w:rsidRPr="4F442426">
        <w:rPr>
          <w:rFonts w:ascii="Arial Nova" w:hAnsi="Arial Nova" w:cs="Arial Nova"/>
          <w:sz w:val="22"/>
          <w:szCs w:val="22"/>
          <w:lang w:val="en-SG" w:eastAsia="zh-CN"/>
        </w:rPr>
        <w:instrText xml:space="preserve"> ADDIN ZOTERO_ITEM CSL_CITATION {"citationID":"xz4B0G4C","properties":{"formattedCitation":"(Papinutto et al., 2021)","plainCitation":"(Papinutto et al., 2021)","noteIndex":0},"citationItems":[{"id":2,"uris":["http://zotero.org/users/13485095/items/5JA9U3AP"],"itemData":{"id":2,"type":"article-journal","abstract":"Task-lighting is a well-known strategy to save energy by bringing light where it is most needed, providing adaptable localised light conditions of special interest in the current home-office context. Despite these benefits and in addition to negatively impacting biological rhythms, the generalization of backlit screens has made task lights less demanded, with screen users tending to accept significantly lower amounts of the illuminance standards. In parallel, the advantages of task-lighting may contradict the energy benefits of presence-driven lighting or blinds automation. This pilot experiment aims at evaluating the task light usage patterns and characteristic preferences for both paper and computer work from a user-centered perspective to provide guidelines in terms of luminaires characteristics. Thirteen participants evaluated three different task lights in both paper and computer conditions. Our results emphasize the role of the luminaire’s form factor, interface and lighting control characteristics, providing general recommendations on luminaire design.","container-title":"Journal of Physics: Conference Series","DOI":"10.1088/1742-6596/2042/1/012115","ISSN":"1742-6596","issue":"1","journalAbbreviation":"J. Phys.: Conf. Ser.","language":"en","note":"publisher: IOP Publishing\nTLDR: This pilot experiment aims at evaluating the task light usage patterns and characteristic preferences for both paper and computer work from a user-centered perspective to provide guidelines in terms of luminaires characteristics, providing general recommendations on luminaire design.","page":"012115","source":"Institute of Physics","title":"Towards the integration of personal task-lighting in an optimised balance between electric lighting and daylighting: A user-centred study of emotion, visual comfort, interaction and form-factor of task lights","title-short":"Towards the integration of personal task-lighting in an optimised balance between electric lighting and daylighting","volume":"2042","author":[{"family":"Papinutto","given":"M."},{"family":"Colombo","given":"M."},{"family":"Golsouzidou","given":"M."},{"family":"Reutter","given":"K."},{"family":"Lalanne","given":"D."},{"family":"Nembrini","given":"J."}],"issued":{"date-parts":[["2021",11]]}}}],"schema":"https://github.com/citation-style-language/schema/raw/master/csl-citation.json"} </w:instrText>
      </w:r>
      <w:r w:rsidRPr="4F442426">
        <w:rPr>
          <w:rFonts w:ascii="Arial Nova" w:hAnsi="Arial Nova" w:cs="Arial Nova"/>
          <w:sz w:val="22"/>
          <w:szCs w:val="22"/>
          <w:lang w:val="en-SG" w:eastAsia="zh-CN"/>
        </w:rPr>
        <w:fldChar w:fldCharType="separate"/>
      </w:r>
      <w:r w:rsidR="006417B3" w:rsidRPr="4F442426">
        <w:rPr>
          <w:rFonts w:ascii="Times New Roman" w:eastAsia="Times New Roman" w:hAnsi="Times New Roman" w:cs="Times New Roman"/>
          <w:sz w:val="22"/>
          <w:szCs w:val="22"/>
        </w:rPr>
        <w:t>(Papinutto et al., 2021)</w:t>
      </w:r>
      <w:r w:rsidRPr="4F442426">
        <w:rPr>
          <w:rFonts w:ascii="Arial Nova" w:hAnsi="Arial Nova" w:cs="Arial Nova"/>
          <w:sz w:val="22"/>
          <w:szCs w:val="22"/>
          <w:lang w:val="en-SG" w:eastAsia="zh-CN"/>
        </w:rPr>
        <w:fldChar w:fldCharType="end"/>
      </w:r>
      <w:r w:rsidRPr="4F442426">
        <w:rPr>
          <w:rFonts w:ascii="Times New Roman" w:eastAsia="Times New Roman" w:hAnsi="Times New Roman" w:cs="Times New Roman"/>
          <w:sz w:val="22"/>
          <w:szCs w:val="22"/>
          <w:lang w:val="en-SG" w:eastAsia="zh-CN"/>
        </w:rPr>
        <w:t>. However, few studies explore joint optimization strategies for both systems under dynamic occupancy conditions at an integrated level. This results in potential imbalances between energy consumption and comfort in actual building lighting operations.</w:t>
      </w:r>
    </w:p>
    <w:p w14:paraId="501BE7D3" w14:textId="3298FAC7" w:rsidR="001720BF" w:rsidRPr="001720BF" w:rsidRDefault="001720BF"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This study adopts the light environment as an entry point, serving as an initial pathway to explore the synergy between personalized and systemic controls. Compared to complex variables like thermal environments or air quality, simulating lighting conditions offers greater intuitiveness and quantifiability. It enables clearer visualization of the coupling relationship between energy consumption and comfort, thereby providing a validation framework for subsequent multi-factor integrated control research. Based on this, this paper proposes a Balanced Light Control Framework. By integrating a central background system with </w:t>
      </w:r>
      <w:r w:rsidRPr="4F442426">
        <w:rPr>
          <w:rFonts w:ascii="Times New Roman" w:eastAsia="Times New Roman" w:hAnsi="Times New Roman" w:cs="Times New Roman"/>
          <w:sz w:val="22"/>
          <w:szCs w:val="22"/>
          <w:lang w:val="en-SG" w:eastAsia="zh-CN"/>
        </w:rPr>
        <w:t>personalized lighting control (PECS), it achieves an optimized balance between minimizing energy consumption and maintaining visual comfort under varying occupancy distributions.</w:t>
      </w:r>
    </w:p>
    <w:p w14:paraId="77586880" w14:textId="5C0957E6" w:rsidR="00E6269A" w:rsidRDefault="001720BF"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To achieve this objective, the study first constructs a three-dimensional light environment simulation model incorporating building geometry and occupancy distribution parameters. Illuminance outputs from the background system and PECS serve as decision variables, while lighting energy consumption and visual comfort act as optimization targets. Employing a constrained approach within a multi-objective optimization framework, the primary goal is energy consumption minimization, constrained by illuminance comfort thresholds, to generate optimal control strategies for diverse occupancy scenarios. Subsequently, the optimization results are expanded into multiple input-output samples. Machine learning techniques are employed to establish a surrogate model, enabling rapid inference of optimal lighting control schemes under new occupancy distribution conditions. Finally, the framework's applicability and energy-saving potential under dynamic occupancy scenarios are validated using historical occupancy data from the real-world office building BEE Hub </w:t>
      </w:r>
      <w:r w:rsidRPr="4F442426">
        <w:rPr>
          <w:rFonts w:ascii="Arial Nova" w:hAnsi="Arial Nova" w:cs="Arial Nova"/>
          <w:sz w:val="22"/>
          <w:szCs w:val="22"/>
          <w:lang w:val="en-SG" w:eastAsia="zh-CN"/>
        </w:rPr>
        <w:fldChar w:fldCharType="begin"/>
      </w:r>
      <w:r w:rsidRPr="4F442426">
        <w:rPr>
          <w:rFonts w:ascii="Arial Nova" w:hAnsi="Arial Nova" w:cs="Arial Nova"/>
          <w:sz w:val="22"/>
          <w:szCs w:val="22"/>
          <w:lang w:val="en-SG" w:eastAsia="zh-CN"/>
        </w:rPr>
        <w:instrText xml:space="preserve"> ADDIN ZOTERO_ITEM CSL_CITATION {"citationID":"Mrxc4KP2","properties":{"formattedCitation":"(Tekler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rsidRPr="4F442426">
        <w:rPr>
          <w:rFonts w:ascii="Arial Nova" w:hAnsi="Arial Nova" w:cs="Arial Nova"/>
          <w:sz w:val="22"/>
          <w:szCs w:val="22"/>
          <w:lang w:val="en-SG" w:eastAsia="zh-CN"/>
        </w:rPr>
        <w:fldChar w:fldCharType="separate"/>
      </w:r>
      <w:r w:rsidR="006417B3" w:rsidRPr="4F442426">
        <w:rPr>
          <w:rFonts w:ascii="Times New Roman" w:eastAsia="Times New Roman" w:hAnsi="Times New Roman" w:cs="Times New Roman"/>
          <w:sz w:val="22"/>
          <w:szCs w:val="22"/>
        </w:rPr>
        <w:t>(Tekler et al., 2022)</w:t>
      </w:r>
      <w:r w:rsidRPr="4F442426">
        <w:rPr>
          <w:rFonts w:ascii="Arial Nova" w:hAnsi="Arial Nova" w:cs="Arial Nova"/>
          <w:sz w:val="22"/>
          <w:szCs w:val="22"/>
          <w:lang w:val="en-SG" w:eastAsia="zh-CN"/>
        </w:rPr>
        <w:fldChar w:fldCharType="end"/>
      </w:r>
      <w:r w:rsidR="006417B3" w:rsidRPr="4F442426">
        <w:rPr>
          <w:rFonts w:ascii="Times New Roman" w:eastAsia="Times New Roman" w:hAnsi="Times New Roman" w:cs="Times New Roman"/>
          <w:sz w:val="22"/>
          <w:szCs w:val="22"/>
          <w:lang w:val="en-SG" w:eastAsia="zh-CN"/>
        </w:rPr>
        <w:t xml:space="preserve">. </w:t>
      </w:r>
      <w:r w:rsidRPr="4F442426">
        <w:rPr>
          <w:rFonts w:ascii="Times New Roman" w:eastAsia="Times New Roman" w:hAnsi="Times New Roman" w:cs="Times New Roman"/>
          <w:sz w:val="22"/>
          <w:szCs w:val="22"/>
          <w:lang w:val="en-SG" w:eastAsia="zh-CN"/>
        </w:rPr>
        <w:t>The findings provide a novel technical pathway for integrating personalized and system-level lighting control, while also offering a scalable approach for occupancy-</w:t>
      </w:r>
      <w:r w:rsidR="00C43282" w:rsidRPr="4F442426">
        <w:rPr>
          <w:rFonts w:ascii="Times New Roman" w:eastAsia="Times New Roman" w:hAnsi="Times New Roman" w:cs="Times New Roman"/>
          <w:sz w:val="22"/>
          <w:szCs w:val="22"/>
          <w:lang w:val="en-SG" w:eastAsia="zh-CN"/>
        </w:rPr>
        <w:t>behaviour</w:t>
      </w:r>
      <w:r w:rsidRPr="4F442426">
        <w:rPr>
          <w:rFonts w:ascii="Times New Roman" w:eastAsia="Times New Roman" w:hAnsi="Times New Roman" w:cs="Times New Roman"/>
          <w:sz w:val="22"/>
          <w:szCs w:val="22"/>
          <w:lang w:val="en-SG" w:eastAsia="zh-CN"/>
        </w:rPr>
        <w:t>-driven environmental control optimization in smart buildings.</w:t>
      </w:r>
    </w:p>
    <w:p w14:paraId="31ABEBCD" w14:textId="77777777" w:rsidR="00F576E7" w:rsidRPr="001720BF" w:rsidRDefault="00F576E7" w:rsidP="4F442426">
      <w:pPr>
        <w:spacing w:line="240" w:lineRule="auto"/>
        <w:jc w:val="both"/>
        <w:rPr>
          <w:rFonts w:ascii="Times New Roman" w:eastAsia="Times New Roman" w:hAnsi="Times New Roman" w:cs="Times New Roman"/>
          <w:sz w:val="22"/>
          <w:szCs w:val="22"/>
          <w:lang w:val="en-SG" w:eastAsia="zh-CN"/>
        </w:rPr>
      </w:pPr>
    </w:p>
    <w:p w14:paraId="62B40700" w14:textId="42D4A8BD" w:rsidR="00EA7410" w:rsidRPr="00EA7410" w:rsidRDefault="009C24A4" w:rsidP="4F442426">
      <w:pPr>
        <w:spacing w:line="240" w:lineRule="auto"/>
        <w:jc w:val="both"/>
        <w:rPr>
          <w:rFonts w:ascii="Times New Roman" w:eastAsia="Times New Roman" w:hAnsi="Times New Roman" w:cs="Times New Roman"/>
          <w:b/>
          <w:bCs/>
          <w:sz w:val="22"/>
          <w:szCs w:val="22"/>
          <w:lang w:val="en-SG" w:eastAsia="zh-CN"/>
        </w:rPr>
      </w:pPr>
      <w:r>
        <w:rPr>
          <w:rFonts w:ascii="Times New Roman" w:eastAsia="Times New Roman" w:hAnsi="Times New Roman" w:cs="Times New Roman"/>
          <w:b/>
          <w:bCs/>
          <w:sz w:val="22"/>
          <w:szCs w:val="22"/>
          <w:lang w:val="en-SG" w:eastAsia="zh-CN"/>
        </w:rPr>
        <w:t>METHODOLOGY</w:t>
      </w:r>
    </w:p>
    <w:p w14:paraId="2F7D643E" w14:textId="24D3FED5"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The overall methodology of this study is illustrated in </w:t>
      </w:r>
      <w:r w:rsidR="009C24A4" w:rsidRPr="00FE239E">
        <w:rPr>
          <w:rFonts w:ascii="Times New Roman" w:eastAsia="Times New Roman" w:hAnsi="Times New Roman" w:cs="Times New Roman"/>
          <w:sz w:val="22"/>
          <w:szCs w:val="22"/>
          <w:lang w:eastAsia="zh-CN"/>
        </w:rPr>
        <w:t>Fig</w:t>
      </w:r>
      <w:r w:rsidR="009C24A4">
        <w:rPr>
          <w:rFonts w:ascii="Times New Roman" w:eastAsia="Times New Roman" w:hAnsi="Times New Roman" w:cs="Times New Roman"/>
          <w:sz w:val="22"/>
          <w:szCs w:val="22"/>
          <w:lang w:eastAsia="zh-CN"/>
        </w:rPr>
        <w:t>. 1.</w:t>
      </w:r>
      <w:r w:rsidR="009C24A4" w:rsidRPr="00FE239E">
        <w:rPr>
          <w:rFonts w:ascii="Times New Roman" w:eastAsia="Times New Roman" w:hAnsi="Times New Roman" w:cs="Times New Roman"/>
          <w:sz w:val="22"/>
          <w:szCs w:val="22"/>
          <w:lang w:eastAsia="zh-CN"/>
        </w:rPr>
        <w:t xml:space="preserve"> </w:t>
      </w:r>
      <w:r w:rsidR="00891CFC" w:rsidRPr="4F442426">
        <w:rPr>
          <w:rFonts w:ascii="Times New Roman" w:eastAsia="Times New Roman" w:hAnsi="Times New Roman" w:cs="Times New Roman"/>
          <w:sz w:val="22"/>
          <w:szCs w:val="22"/>
          <w:lang w:val="en-SG" w:eastAsia="zh-CN"/>
        </w:rPr>
        <w:t xml:space="preserve">with </w:t>
      </w:r>
      <w:r w:rsidRPr="4F442426">
        <w:rPr>
          <w:rFonts w:ascii="Times New Roman" w:eastAsia="Times New Roman" w:hAnsi="Times New Roman" w:cs="Times New Roman"/>
          <w:sz w:val="22"/>
          <w:szCs w:val="22"/>
          <w:lang w:val="en-SG" w:eastAsia="zh-CN"/>
        </w:rPr>
        <w:t xml:space="preserve">six main components: environmental inputs, decision variables, objective variables, optimization, surrogate </w:t>
      </w:r>
      <w:r w:rsidR="00891CFC" w:rsidRPr="4F442426">
        <w:rPr>
          <w:rFonts w:ascii="Times New Roman" w:eastAsia="Times New Roman" w:hAnsi="Times New Roman" w:cs="Times New Roman"/>
          <w:sz w:val="22"/>
          <w:szCs w:val="22"/>
          <w:lang w:val="en-SG" w:eastAsia="zh-CN"/>
        </w:rPr>
        <w:t>model construction</w:t>
      </w:r>
      <w:r w:rsidRPr="4F442426">
        <w:rPr>
          <w:rFonts w:ascii="Times New Roman" w:eastAsia="Times New Roman" w:hAnsi="Times New Roman" w:cs="Times New Roman"/>
          <w:sz w:val="22"/>
          <w:szCs w:val="22"/>
          <w:lang w:val="en-SG" w:eastAsia="zh-CN"/>
        </w:rPr>
        <w:t>, and case validation.</w:t>
      </w:r>
    </w:p>
    <w:p w14:paraId="5F0BCA4A" w14:textId="77777777" w:rsidR="00FE239E" w:rsidRDefault="00FE239E" w:rsidP="4F442426">
      <w:pPr>
        <w:spacing w:line="240" w:lineRule="auto"/>
        <w:jc w:val="both"/>
        <w:rPr>
          <w:rFonts w:ascii="Times New Roman" w:eastAsia="Times New Roman" w:hAnsi="Times New Roman" w:cs="Times New Roman"/>
          <w:sz w:val="22"/>
          <w:szCs w:val="22"/>
          <w:lang w:eastAsia="zh-CN"/>
        </w:rPr>
      </w:pPr>
    </w:p>
    <w:p w14:paraId="0892E04D" w14:textId="77777777" w:rsidR="00FE239E" w:rsidRDefault="00FE239E" w:rsidP="4F442426">
      <w:pPr>
        <w:spacing w:line="240" w:lineRule="auto"/>
        <w:jc w:val="both"/>
        <w:rPr>
          <w:rFonts w:ascii="Times New Roman" w:eastAsia="Times New Roman" w:hAnsi="Times New Roman" w:cs="Times New Roman"/>
          <w:sz w:val="22"/>
          <w:szCs w:val="22"/>
          <w:lang w:eastAsia="zh-CN"/>
        </w:rPr>
        <w:sectPr w:rsidR="00FE239E" w:rsidSect="00D02D7F">
          <w:type w:val="continuous"/>
          <w:pgSz w:w="12240" w:h="15840"/>
          <w:pgMar w:top="1440" w:right="1440" w:bottom="1440" w:left="1440" w:header="720" w:footer="720" w:gutter="0"/>
          <w:cols w:num="2" w:space="720"/>
          <w:docGrid w:linePitch="360"/>
        </w:sectPr>
      </w:pPr>
    </w:p>
    <w:p w14:paraId="5F8C8569" w14:textId="77777777" w:rsidR="00FE239E" w:rsidRDefault="00FE239E" w:rsidP="4F442426">
      <w:pPr>
        <w:spacing w:line="240" w:lineRule="auto"/>
        <w:jc w:val="both"/>
        <w:rPr>
          <w:rFonts w:ascii="Times New Roman" w:eastAsia="Times New Roman" w:hAnsi="Times New Roman" w:cs="Times New Roman"/>
          <w:sz w:val="22"/>
          <w:szCs w:val="22"/>
          <w:lang w:eastAsia="zh-CN"/>
        </w:rPr>
      </w:pPr>
      <w:r>
        <w:rPr>
          <w:noProof/>
        </w:rPr>
        <w:lastRenderedPageBreak/>
        <w:drawing>
          <wp:inline distT="0" distB="0" distL="0" distR="0" wp14:anchorId="4E7CA978" wp14:editId="51DF7063">
            <wp:extent cx="5950424" cy="3139865"/>
            <wp:effectExtent l="0" t="0" r="0" b="3810"/>
            <wp:docPr id="8" name="Picture 7" descr="A diagram of a diagram of a computer">
              <a:extLst xmlns:a="http://schemas.openxmlformats.org/drawingml/2006/main">
                <a:ext uri="{FF2B5EF4-FFF2-40B4-BE49-F238E27FC236}">
                  <a16:creationId xmlns:a16="http://schemas.microsoft.com/office/drawing/2014/main" id="{3FE1AEDA-0DBD-75E0-3561-34CCC2EFF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 of a computer">
                      <a:extLst>
                        <a:ext uri="{FF2B5EF4-FFF2-40B4-BE49-F238E27FC236}">
                          <a16:creationId xmlns:a16="http://schemas.microsoft.com/office/drawing/2014/main" id="{3FE1AEDA-0DBD-75E0-3561-34CCC2EFF5CC}"/>
                        </a:ext>
                      </a:extLst>
                    </pic:cNvPr>
                    <pic:cNvPicPr>
                      <a:picLocks noChangeAspect="1"/>
                    </pic:cNvPicPr>
                  </pic:nvPicPr>
                  <pic:blipFill>
                    <a:blip r:embed="rId7"/>
                    <a:stretch>
                      <a:fillRect/>
                    </a:stretch>
                  </pic:blipFill>
                  <pic:spPr>
                    <a:xfrm>
                      <a:off x="0" y="0"/>
                      <a:ext cx="5970926" cy="3150683"/>
                    </a:xfrm>
                    <a:prstGeom prst="rect">
                      <a:avLst/>
                    </a:prstGeom>
                  </pic:spPr>
                </pic:pic>
              </a:graphicData>
            </a:graphic>
          </wp:inline>
        </w:drawing>
      </w:r>
    </w:p>
    <w:p w14:paraId="787B5ECF" w14:textId="0EBA4E4A" w:rsidR="00FE239E" w:rsidRDefault="00FE239E" w:rsidP="4F442426">
      <w:pPr>
        <w:spacing w:line="240" w:lineRule="auto"/>
        <w:jc w:val="both"/>
        <w:rPr>
          <w:rFonts w:ascii="Times New Roman" w:eastAsia="Times New Roman" w:hAnsi="Times New Roman" w:cs="Times New Roman"/>
          <w:sz w:val="22"/>
          <w:szCs w:val="22"/>
          <w:lang w:eastAsia="zh-CN"/>
        </w:rPr>
      </w:pPr>
    </w:p>
    <w:p w14:paraId="5EB04433" w14:textId="79B9C001" w:rsidR="00FE239E" w:rsidRDefault="009C24A4" w:rsidP="4F442426">
      <w:pPr>
        <w:spacing w:line="240" w:lineRule="auto"/>
        <w:jc w:val="both"/>
        <w:rPr>
          <w:rFonts w:ascii="Times New Roman" w:eastAsia="Times New Roman" w:hAnsi="Times New Roman" w:cs="Times New Roman"/>
          <w:sz w:val="22"/>
          <w:szCs w:val="22"/>
          <w:lang w:eastAsia="zh-CN"/>
        </w:rPr>
        <w:sectPr w:rsidR="00FE239E" w:rsidSect="00FE239E">
          <w:type w:val="continuous"/>
          <w:pgSz w:w="12240" w:h="15840"/>
          <w:pgMar w:top="1440" w:right="1440" w:bottom="1440" w:left="1440" w:header="720" w:footer="720" w:gutter="0"/>
          <w:cols w:space="720"/>
          <w:docGrid w:linePitch="360"/>
        </w:sectPr>
      </w:pPr>
      <w:r w:rsidRPr="00FE239E">
        <w:rPr>
          <w:rFonts w:ascii="Times New Roman" w:eastAsia="Times New Roman" w:hAnsi="Times New Roman" w:cs="Times New Roman"/>
          <w:sz w:val="22"/>
          <w:szCs w:val="22"/>
          <w:lang w:eastAsia="zh-CN"/>
        </w:rPr>
        <w:t>Fig</w:t>
      </w:r>
      <w:r>
        <w:rPr>
          <w:rFonts w:ascii="Times New Roman" w:eastAsia="Times New Roman" w:hAnsi="Times New Roman" w:cs="Times New Roman"/>
          <w:sz w:val="22"/>
          <w:szCs w:val="22"/>
          <w:lang w:eastAsia="zh-CN"/>
        </w:rPr>
        <w:t>. 1.</w:t>
      </w:r>
      <w:r w:rsidR="00FE239E" w:rsidRPr="00FE239E">
        <w:rPr>
          <w:rFonts w:ascii="Times New Roman" w:eastAsia="Times New Roman" w:hAnsi="Times New Roman" w:cs="Times New Roman"/>
          <w:sz w:val="22"/>
          <w:szCs w:val="22"/>
          <w:lang w:eastAsia="zh-CN"/>
        </w:rPr>
        <w:t xml:space="preserve"> Methodology Illustration. (a) - Environmental Inputs, (b) - Decision Variables, (c) - Objective Variables, (d)&amp;(e) - Optimization Process, (f) &amp; (g) - Surrogate Model Construction, (h) Case Validation</w:t>
      </w:r>
    </w:p>
    <w:p w14:paraId="2B35397C" w14:textId="6FE604A7" w:rsidR="00FE239E" w:rsidRDefault="00FE239E" w:rsidP="4F442426">
      <w:pPr>
        <w:spacing w:line="240" w:lineRule="auto"/>
        <w:jc w:val="both"/>
        <w:rPr>
          <w:rFonts w:ascii="Times New Roman" w:eastAsia="Times New Roman" w:hAnsi="Times New Roman" w:cs="Times New Roman"/>
          <w:sz w:val="22"/>
          <w:szCs w:val="22"/>
          <w:lang w:eastAsia="zh-CN"/>
        </w:rPr>
        <w:sectPr w:rsidR="00FE239E" w:rsidSect="00FE239E">
          <w:type w:val="continuous"/>
          <w:pgSz w:w="12240" w:h="15840"/>
          <w:pgMar w:top="1440" w:right="1440" w:bottom="1440" w:left="1440" w:header="720" w:footer="720" w:gutter="0"/>
          <w:cols w:space="720"/>
          <w:docGrid w:linePitch="360"/>
        </w:sectPr>
      </w:pPr>
    </w:p>
    <w:p w14:paraId="2FF1258F" w14:textId="4767508C"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(1) Environmental Inputs</w:t>
      </w:r>
    </w:p>
    <w:p w14:paraId="52A24825" w14:textId="693964D6"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A real office space (BEE Hub) was selected as the study subject. Based on a 3D building model, spatial geometric boundaries, material properties, and lighting fixture layouts </w:t>
      </w:r>
      <w:r w:rsidR="00923652" w:rsidRPr="4F442426">
        <w:rPr>
          <w:rFonts w:ascii="Times New Roman" w:eastAsia="Times New Roman" w:hAnsi="Times New Roman" w:cs="Times New Roman"/>
          <w:sz w:val="22"/>
          <w:szCs w:val="22"/>
          <w:lang w:val="en-SG" w:eastAsia="zh-CN"/>
        </w:rPr>
        <w:t>were</w:t>
      </w:r>
      <w:r w:rsidRPr="4F442426">
        <w:rPr>
          <w:rFonts w:ascii="Times New Roman" w:eastAsia="Times New Roman" w:hAnsi="Times New Roman" w:cs="Times New Roman"/>
          <w:sz w:val="22"/>
          <w:szCs w:val="22"/>
          <w:lang w:val="en-SG" w:eastAsia="zh-CN"/>
        </w:rPr>
        <w:t xml:space="preserve"> defined. Simultaneously, randomly generated occupancy distributions were employed as environmental input parameters to simulate occupancy variations across different time periods and density levels.</w:t>
      </w:r>
    </w:p>
    <w:p w14:paraId="36B686B0" w14:textId="77777777"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(2) Decision Variables</w:t>
      </w:r>
    </w:p>
    <w:p w14:paraId="79FB3C06" w14:textId="1D9FCB76"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Control variables </w:t>
      </w:r>
      <w:r w:rsidR="00923652" w:rsidRPr="4F442426">
        <w:rPr>
          <w:rFonts w:ascii="Times New Roman" w:eastAsia="Times New Roman" w:hAnsi="Times New Roman" w:cs="Times New Roman"/>
          <w:sz w:val="22"/>
          <w:szCs w:val="22"/>
          <w:lang w:val="en-SG" w:eastAsia="zh-CN"/>
        </w:rPr>
        <w:t>were</w:t>
      </w:r>
      <w:r w:rsidRPr="4F442426">
        <w:rPr>
          <w:rFonts w:ascii="Times New Roman" w:eastAsia="Times New Roman" w:hAnsi="Times New Roman" w:cs="Times New Roman"/>
          <w:sz w:val="22"/>
          <w:szCs w:val="22"/>
          <w:lang w:val="en-SG" w:eastAsia="zh-CN"/>
        </w:rPr>
        <w:t xml:space="preserve"> the overall illuminance level of the central background lighting system and the local brightness settings of the PECS. </w:t>
      </w:r>
      <w:r w:rsidR="00DA624A" w:rsidRPr="4F442426">
        <w:rPr>
          <w:rFonts w:ascii="Times New Roman" w:eastAsia="Times New Roman" w:hAnsi="Times New Roman" w:cs="Times New Roman"/>
          <w:sz w:val="22"/>
          <w:szCs w:val="22"/>
          <w:lang w:val="en-SG" w:eastAsia="zh-CN"/>
        </w:rPr>
        <w:t>T</w:t>
      </w:r>
      <w:r w:rsidRPr="4F442426">
        <w:rPr>
          <w:rFonts w:ascii="Times New Roman" w:eastAsia="Times New Roman" w:hAnsi="Times New Roman" w:cs="Times New Roman"/>
          <w:sz w:val="22"/>
          <w:szCs w:val="22"/>
          <w:lang w:val="en-SG" w:eastAsia="zh-CN"/>
        </w:rPr>
        <w:t>hese variables determined the spatial distribution of illumination and the overall energy consumption level.</w:t>
      </w:r>
    </w:p>
    <w:p w14:paraId="363AAC2A" w14:textId="77777777"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(3) Objective Variables</w:t>
      </w:r>
    </w:p>
    <w:p w14:paraId="7FE6A0E4" w14:textId="3DC087EE"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Lighting environment simulation </w:t>
      </w:r>
      <w:r w:rsidR="00DA624A" w:rsidRPr="4F442426">
        <w:rPr>
          <w:rFonts w:ascii="Times New Roman" w:eastAsia="Times New Roman" w:hAnsi="Times New Roman" w:cs="Times New Roman"/>
          <w:sz w:val="22"/>
          <w:szCs w:val="22"/>
          <w:lang w:val="en-SG" w:eastAsia="zh-CN"/>
        </w:rPr>
        <w:t>was</w:t>
      </w:r>
      <w:r w:rsidRPr="4F442426">
        <w:rPr>
          <w:rFonts w:ascii="Times New Roman" w:eastAsia="Times New Roman" w:hAnsi="Times New Roman" w:cs="Times New Roman"/>
          <w:sz w:val="22"/>
          <w:szCs w:val="22"/>
          <w:lang w:val="en-SG" w:eastAsia="zh-CN"/>
        </w:rPr>
        <w:t xml:space="preserve"> performed by </w:t>
      </w:r>
      <w:proofErr w:type="spellStart"/>
      <w:r w:rsidRPr="4F442426">
        <w:rPr>
          <w:rFonts w:ascii="Times New Roman" w:eastAsia="Times New Roman" w:hAnsi="Times New Roman" w:cs="Times New Roman"/>
          <w:sz w:val="22"/>
          <w:szCs w:val="22"/>
          <w:lang w:val="en-SG" w:eastAsia="zh-CN"/>
        </w:rPr>
        <w:t>ClimateStudio</w:t>
      </w:r>
      <w:proofErr w:type="spellEnd"/>
      <w:r w:rsidRPr="4F442426">
        <w:rPr>
          <w:rFonts w:ascii="Times New Roman" w:eastAsia="Times New Roman" w:hAnsi="Times New Roman" w:cs="Times New Roman"/>
          <w:sz w:val="22"/>
          <w:szCs w:val="22"/>
          <w:lang w:val="en-SG" w:eastAsia="zh-CN"/>
        </w:rPr>
        <w:t xml:space="preserve">, outputting metrics including lighting energy consumption and visual light </w:t>
      </w:r>
      <w:r w:rsidRPr="4F442426">
        <w:rPr>
          <w:rFonts w:ascii="Times New Roman" w:eastAsia="Times New Roman" w:hAnsi="Times New Roman" w:cs="Times New Roman"/>
          <w:sz w:val="22"/>
          <w:szCs w:val="22"/>
          <w:lang w:val="en-SG" w:eastAsia="zh-CN"/>
        </w:rPr>
        <w:t>comfort calculated based on specific occupancy distributions. The comfort metric is derived from a comprehensive assessment of work surface illuminance.</w:t>
      </w:r>
    </w:p>
    <w:p w14:paraId="4DB746AF" w14:textId="77777777"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(4) Optimization Process</w:t>
      </w:r>
    </w:p>
    <w:p w14:paraId="542A405E" w14:textId="3116624A"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This study adopts dual optimization objectives of lighting energy consumption and visual light comfort, seeking a balanced relationship between them within a multi-objective optimization framework. In practice, a constrained single-objective optimization method was employed: minimizing lighting energy consumption as the primary goal while setting visual comfort thresholds as constraints. The optimizer iteratively adjusted control parameters for background systems and PECS during simulation cycles until optimal solutions were obtained. The </w:t>
      </w:r>
      <w:r w:rsidR="00D50608" w:rsidRPr="4F442426">
        <w:rPr>
          <w:rFonts w:ascii="Times New Roman" w:eastAsia="Times New Roman" w:hAnsi="Times New Roman" w:cs="Times New Roman"/>
          <w:sz w:val="22"/>
          <w:szCs w:val="22"/>
          <w:lang w:val="en-SG" w:eastAsia="zh-CN"/>
        </w:rPr>
        <w:t>outcome</w:t>
      </w:r>
      <w:r w:rsidRPr="4F442426">
        <w:rPr>
          <w:rFonts w:ascii="Times New Roman" w:eastAsia="Times New Roman" w:hAnsi="Times New Roman" w:cs="Times New Roman"/>
          <w:sz w:val="22"/>
          <w:szCs w:val="22"/>
          <w:lang w:val="en-SG" w:eastAsia="zh-CN"/>
        </w:rPr>
        <w:t xml:space="preserve"> </w:t>
      </w:r>
      <w:r w:rsidR="0020725C" w:rsidRPr="4F442426">
        <w:rPr>
          <w:rFonts w:ascii="Times New Roman" w:eastAsia="Times New Roman" w:hAnsi="Times New Roman" w:cs="Times New Roman"/>
          <w:sz w:val="22"/>
          <w:szCs w:val="22"/>
          <w:lang w:val="en-SG" w:eastAsia="zh-CN"/>
        </w:rPr>
        <w:t>indicates</w:t>
      </w:r>
      <w:r w:rsidRPr="4F442426">
        <w:rPr>
          <w:rFonts w:ascii="Times New Roman" w:eastAsia="Times New Roman" w:hAnsi="Times New Roman" w:cs="Times New Roman"/>
          <w:sz w:val="22"/>
          <w:szCs w:val="22"/>
          <w:lang w:val="en-SG" w:eastAsia="zh-CN"/>
        </w:rPr>
        <w:t xml:space="preserve"> balanced light control strategies tailored to varying occupancy distributions.</w:t>
      </w:r>
    </w:p>
    <w:p w14:paraId="73F430E2" w14:textId="77777777"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(5) Surrogate Model Construction</w:t>
      </w:r>
    </w:p>
    <w:p w14:paraId="120BFA5C" w14:textId="59EC9890"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lastRenderedPageBreak/>
        <w:t xml:space="preserve">For optimization results under various occupancy distributions, training data pairs (Occupancy Distribution – Balanced Strategy) </w:t>
      </w:r>
      <w:r w:rsidR="00966EE4" w:rsidRPr="4F442426">
        <w:rPr>
          <w:rFonts w:ascii="Times New Roman" w:eastAsia="Times New Roman" w:hAnsi="Times New Roman" w:cs="Times New Roman"/>
          <w:sz w:val="22"/>
          <w:szCs w:val="22"/>
          <w:lang w:val="en-SG" w:eastAsia="zh-CN"/>
        </w:rPr>
        <w:t>were</w:t>
      </w:r>
      <w:r w:rsidRPr="4F442426">
        <w:rPr>
          <w:rFonts w:ascii="Times New Roman" w:eastAsia="Times New Roman" w:hAnsi="Times New Roman" w:cs="Times New Roman"/>
          <w:sz w:val="22"/>
          <w:szCs w:val="22"/>
          <w:lang w:val="en-SG" w:eastAsia="zh-CN"/>
        </w:rPr>
        <w:t xml:space="preserve"> generated. A machine learning model </w:t>
      </w:r>
      <w:r w:rsidR="00966EE4" w:rsidRPr="4F442426">
        <w:rPr>
          <w:rFonts w:ascii="Times New Roman" w:eastAsia="Times New Roman" w:hAnsi="Times New Roman" w:cs="Times New Roman"/>
          <w:sz w:val="22"/>
          <w:szCs w:val="22"/>
          <w:lang w:val="en-SG" w:eastAsia="zh-CN"/>
        </w:rPr>
        <w:t>was</w:t>
      </w:r>
      <w:r w:rsidRPr="4F442426">
        <w:rPr>
          <w:rFonts w:ascii="Times New Roman" w:eastAsia="Times New Roman" w:hAnsi="Times New Roman" w:cs="Times New Roman"/>
          <w:sz w:val="22"/>
          <w:szCs w:val="22"/>
          <w:lang w:val="en-SG" w:eastAsia="zh-CN"/>
        </w:rPr>
        <w:t xml:space="preserve"> employed to establish a surrogate prediction framework.</w:t>
      </w:r>
    </w:p>
    <w:p w14:paraId="709055CA" w14:textId="77777777" w:rsidR="00EA7410" w:rsidRPr="00EA7410"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(6) Case Validation</w:t>
      </w:r>
    </w:p>
    <w:p w14:paraId="44FF5A6B" w14:textId="41E05DA6" w:rsidR="0004649E" w:rsidRDefault="00EA7410" w:rsidP="4F442426">
      <w:pPr>
        <w:spacing w:line="240" w:lineRule="auto"/>
        <w:jc w:val="both"/>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Using </w:t>
      </w:r>
      <w:r w:rsidR="005C13E4" w:rsidRPr="4F442426">
        <w:rPr>
          <w:rFonts w:ascii="Times New Roman" w:eastAsia="Times New Roman" w:hAnsi="Times New Roman" w:cs="Times New Roman"/>
          <w:sz w:val="22"/>
          <w:szCs w:val="22"/>
          <w:lang w:val="en-SG" w:eastAsia="zh-CN"/>
        </w:rPr>
        <w:t>historical</w:t>
      </w:r>
      <w:r w:rsidRPr="4F442426">
        <w:rPr>
          <w:rFonts w:ascii="Times New Roman" w:eastAsia="Times New Roman" w:hAnsi="Times New Roman" w:cs="Times New Roman"/>
          <w:sz w:val="22"/>
          <w:szCs w:val="22"/>
          <w:lang w:val="en-SG" w:eastAsia="zh-CN"/>
        </w:rPr>
        <w:t xml:space="preserve"> occupancy data from a real office space (BEE Hub) as input</w:t>
      </w:r>
      <w:r w:rsidR="004D4E46" w:rsidRPr="4F442426">
        <w:rPr>
          <w:rFonts w:ascii="Times New Roman" w:eastAsia="Times New Roman" w:hAnsi="Times New Roman" w:cs="Times New Roman"/>
          <w:sz w:val="22"/>
          <w:szCs w:val="22"/>
          <w:lang w:val="en-SG" w:eastAsia="zh-CN"/>
        </w:rPr>
        <w:t xml:space="preserve"> </w:t>
      </w:r>
      <w:r>
        <w:fldChar w:fldCharType="begin"/>
      </w:r>
      <w:r>
        <w:instrText xml:space="preserve"> ADDIN ZOTERO_ITEM CSL_CITATION {"citationID":"oF0j2LRS","properties":{"formattedCitation":"(Tekler et al., 2022)","plainCitation":"(Tekler et al., 2022)","noteIndex":0},"citationItems":[{"id":4929,"uris":["http://zotero.org/users/13485095/items/93YXF7TH"],"itemData":{"id":4929,"type":"article-journal","abstract":"The availability of the building’s operation data and occupancy information has been crucial to support the evaluation of existing models and development of new data-driven approaches. This paper describes a comprehensive dataset consisting of indoor environmental conditions, Wi-Fi connected devices, energy consumption of end uses (i.e., HVAC, lighting, plug loads and fans), HVAC operations, and outdoor weather conditions collected through various heterogeneous sensors together with the ground truth occupant presence and count information for five rooms located in a university environment. The five rooms include two different-sized lecture rooms, an office space for administrative staff, an office space for researchers, and a library space accessible to all students. A total of 181 days of data was collected from all five rooms at a sampling resolution of 5 minutes. This dataset can be used for benchmarking and supporting data-driven approaches in the field of occupancy prediction and occupant behaviour modelling, building simulation and control, energy forecasting and various building analytics.","container-title":"Building Simulation","DOI":"10.1007/s12273-022-0925-9","ISSN":"1996-8744","issue":"12","journalAbbreviation":"Build. Simul.","language":"en","note":"TLDR: A comprehensive dataset consisting of indoor environmental conditions, Wi-Fi connected devices, energy consumption of end uses, HVAC operations, and outdoor weather conditions collected through various heterogeneous sensors together with the ground truth occupant presence and count information for five rooms located in a university environment is described.","page":"2127-2137","source":"Springer Link","title":"ROBOD, room-level occupancy and building operation dataset","volume":"15","author":[{"family":"Tekler","given":"Zeynep Duygu"},{"family":"Ono","given":"Eikichi"},{"family":"Peng","given":"Yuzhen"},{"family":"Zhan","given":"Sicheng"},{"family":"Lasternas","given":"Bertrand"},{"family":"Chong","given":"Adrian"}],"issued":{"date-parts":[["2022",12,1]]}}}],"schema":"https://github.com/citation-style-language/schema/raw/master/csl-citation.json"} </w:instrText>
      </w:r>
      <w:r>
        <w:fldChar w:fldCharType="separate"/>
      </w:r>
      <w:r w:rsidR="004D4E46" w:rsidRPr="4F442426">
        <w:rPr>
          <w:rFonts w:ascii="Times New Roman" w:eastAsia="Times New Roman" w:hAnsi="Times New Roman" w:cs="Times New Roman"/>
          <w:sz w:val="20"/>
          <w:szCs w:val="20"/>
        </w:rPr>
        <w:t>(Tekler et al., 2022)</w:t>
      </w:r>
      <w:r>
        <w:fldChar w:fldCharType="end"/>
      </w:r>
      <w:r w:rsidRPr="4F442426">
        <w:rPr>
          <w:rFonts w:ascii="Times New Roman" w:eastAsia="Times New Roman" w:hAnsi="Times New Roman" w:cs="Times New Roman"/>
          <w:sz w:val="22"/>
          <w:szCs w:val="22"/>
          <w:lang w:val="en-SG" w:eastAsia="zh-CN"/>
        </w:rPr>
        <w:t>, the energy consumption differences between traditional background systems and the balanced control strategy are compared. This evaluates the energy-saving potential and computational efficiency of the proposed method.</w:t>
      </w:r>
    </w:p>
    <w:p w14:paraId="5290EFF9" w14:textId="77777777" w:rsidR="00F576E7" w:rsidRDefault="00F576E7" w:rsidP="4F442426">
      <w:pPr>
        <w:spacing w:line="240" w:lineRule="auto"/>
        <w:jc w:val="both"/>
        <w:rPr>
          <w:rFonts w:ascii="Times New Roman" w:eastAsia="Times New Roman" w:hAnsi="Times New Roman" w:cs="Times New Roman"/>
          <w:sz w:val="22"/>
          <w:szCs w:val="22"/>
          <w:lang w:val="en-SG" w:eastAsia="zh-CN"/>
        </w:rPr>
      </w:pPr>
    </w:p>
    <w:p w14:paraId="31BD1A75" w14:textId="00C609A0" w:rsidR="0021204A" w:rsidRPr="00BC0D54" w:rsidRDefault="0021204A" w:rsidP="4F442426">
      <w:pPr>
        <w:spacing w:line="240" w:lineRule="auto"/>
        <w:jc w:val="both"/>
        <w:rPr>
          <w:rFonts w:ascii="Times New Roman" w:eastAsia="Times New Roman" w:hAnsi="Times New Roman" w:cs="Times New Roman"/>
          <w:b/>
          <w:bCs/>
          <w:sz w:val="22"/>
          <w:szCs w:val="22"/>
          <w:lang w:val="en-SG" w:eastAsia="zh-CN"/>
        </w:rPr>
      </w:pPr>
      <w:r w:rsidRPr="4F442426">
        <w:rPr>
          <w:rFonts w:ascii="Times New Roman" w:eastAsia="Times New Roman" w:hAnsi="Times New Roman" w:cs="Times New Roman"/>
          <w:b/>
          <w:bCs/>
          <w:sz w:val="22"/>
          <w:szCs w:val="22"/>
          <w:lang w:val="en-SG" w:eastAsia="zh-CN"/>
        </w:rPr>
        <w:t xml:space="preserve">AI </w:t>
      </w:r>
      <w:r w:rsidR="00F576E7">
        <w:rPr>
          <w:rFonts w:ascii="Times New Roman" w:eastAsia="Times New Roman" w:hAnsi="Times New Roman" w:cs="Times New Roman"/>
          <w:b/>
          <w:bCs/>
          <w:sz w:val="22"/>
          <w:szCs w:val="22"/>
          <w:lang w:val="en-SG" w:eastAsia="zh-CN"/>
        </w:rPr>
        <w:t>ACKNOWLEDGEMENT</w:t>
      </w:r>
    </w:p>
    <w:p w14:paraId="7EDEB8A5" w14:textId="5B11DD12" w:rsidR="00E048D2" w:rsidRDefault="00E048D2" w:rsidP="4F442426">
      <w:pPr>
        <w:spacing w:line="240" w:lineRule="auto"/>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Use</w:t>
      </w:r>
      <w:r w:rsidR="0004649E" w:rsidRPr="4F442426">
        <w:rPr>
          <w:rFonts w:ascii="Times New Roman" w:eastAsia="Times New Roman" w:hAnsi="Times New Roman" w:cs="Times New Roman"/>
          <w:sz w:val="22"/>
          <w:szCs w:val="22"/>
          <w:lang w:val="en-SG" w:eastAsia="zh-CN"/>
        </w:rPr>
        <w:t xml:space="preserve"> ChatGPT </w:t>
      </w:r>
      <w:r w:rsidRPr="4F442426">
        <w:rPr>
          <w:rFonts w:ascii="Times New Roman" w:eastAsia="Times New Roman" w:hAnsi="Times New Roman" w:cs="Times New Roman"/>
          <w:sz w:val="22"/>
          <w:szCs w:val="22"/>
          <w:lang w:val="en-SG" w:eastAsia="zh-CN"/>
        </w:rPr>
        <w:t>to help</w:t>
      </w:r>
      <w:r w:rsidR="0004649E" w:rsidRPr="4F442426">
        <w:rPr>
          <w:rFonts w:ascii="Times New Roman" w:eastAsia="Times New Roman" w:hAnsi="Times New Roman" w:cs="Times New Roman"/>
          <w:sz w:val="22"/>
          <w:szCs w:val="22"/>
          <w:lang w:val="en-SG" w:eastAsia="zh-CN"/>
        </w:rPr>
        <w:t xml:space="preserve"> understand the </w:t>
      </w:r>
      <w:r w:rsidR="00C43282">
        <w:rPr>
          <w:rFonts w:ascii="Times New Roman" w:hAnsi="Times New Roman" w:cs="Times New Roman" w:hint="eastAsia"/>
          <w:sz w:val="22"/>
          <w:szCs w:val="22"/>
          <w:lang w:val="en-SG" w:eastAsia="zh-CN"/>
        </w:rPr>
        <w:t xml:space="preserve">possible </w:t>
      </w:r>
      <w:r w:rsidR="0004649E" w:rsidRPr="4F442426">
        <w:rPr>
          <w:rFonts w:ascii="Times New Roman" w:eastAsia="Times New Roman" w:hAnsi="Times New Roman" w:cs="Times New Roman"/>
          <w:sz w:val="22"/>
          <w:szCs w:val="22"/>
          <w:lang w:val="en-SG" w:eastAsia="zh-CN"/>
        </w:rPr>
        <w:t>optimization process.</w:t>
      </w:r>
    </w:p>
    <w:p w14:paraId="661F595E" w14:textId="2873E27C" w:rsidR="00C16B65" w:rsidRPr="00EA7410" w:rsidRDefault="00C16B65" w:rsidP="4F442426">
      <w:pPr>
        <w:spacing w:line="240" w:lineRule="auto"/>
        <w:rPr>
          <w:rFonts w:ascii="Times New Roman" w:eastAsia="Times New Roman" w:hAnsi="Times New Roman" w:cs="Times New Roman"/>
          <w:sz w:val="22"/>
          <w:szCs w:val="22"/>
          <w:lang w:val="en-SG" w:eastAsia="zh-CN"/>
        </w:rPr>
      </w:pPr>
      <w:r w:rsidRPr="4F442426">
        <w:rPr>
          <w:rFonts w:ascii="Times New Roman" w:eastAsia="Times New Roman" w:hAnsi="Times New Roman" w:cs="Times New Roman"/>
          <w:sz w:val="22"/>
          <w:szCs w:val="22"/>
          <w:lang w:val="en-SG" w:eastAsia="zh-CN"/>
        </w:rPr>
        <w:t xml:space="preserve">Use </w:t>
      </w:r>
      <w:proofErr w:type="spellStart"/>
      <w:r w:rsidRPr="4F442426">
        <w:rPr>
          <w:rFonts w:ascii="Times New Roman" w:eastAsia="Times New Roman" w:hAnsi="Times New Roman" w:cs="Times New Roman"/>
          <w:sz w:val="22"/>
          <w:szCs w:val="22"/>
          <w:lang w:val="en-SG" w:eastAsia="zh-CN"/>
        </w:rPr>
        <w:t>DeepL</w:t>
      </w:r>
      <w:proofErr w:type="spellEnd"/>
      <w:r w:rsidRPr="4F442426">
        <w:rPr>
          <w:rFonts w:ascii="Times New Roman" w:eastAsia="Times New Roman" w:hAnsi="Times New Roman" w:cs="Times New Roman"/>
          <w:sz w:val="22"/>
          <w:szCs w:val="22"/>
          <w:lang w:val="en-SG" w:eastAsia="zh-CN"/>
        </w:rPr>
        <w:t xml:space="preserve"> </w:t>
      </w:r>
      <w:r w:rsidR="00D4506B" w:rsidRPr="4F442426">
        <w:rPr>
          <w:rFonts w:ascii="Times New Roman" w:eastAsia="Times New Roman" w:hAnsi="Times New Roman" w:cs="Times New Roman"/>
          <w:sz w:val="22"/>
          <w:szCs w:val="22"/>
          <w:lang w:val="en-SG" w:eastAsia="zh-CN"/>
        </w:rPr>
        <w:t xml:space="preserve">for </w:t>
      </w:r>
      <w:r w:rsidR="00484955" w:rsidRPr="4F442426">
        <w:rPr>
          <w:rFonts w:ascii="Times New Roman" w:eastAsia="Times New Roman" w:hAnsi="Times New Roman" w:cs="Times New Roman"/>
          <w:sz w:val="22"/>
          <w:szCs w:val="22"/>
          <w:lang w:val="en-SG" w:eastAsia="zh-CN"/>
        </w:rPr>
        <w:t>accurate</w:t>
      </w:r>
      <w:r w:rsidR="00E1040F" w:rsidRPr="4F442426">
        <w:rPr>
          <w:rFonts w:ascii="Times New Roman" w:eastAsia="Times New Roman" w:hAnsi="Times New Roman" w:cs="Times New Roman"/>
          <w:sz w:val="22"/>
          <w:szCs w:val="22"/>
          <w:lang w:val="en-SG" w:eastAsia="zh-CN"/>
        </w:rPr>
        <w:t xml:space="preserve"> expression.</w:t>
      </w:r>
    </w:p>
    <w:p w14:paraId="58811457" w14:textId="77777777" w:rsidR="00524FEF" w:rsidRDefault="00524FEF" w:rsidP="4F442426">
      <w:pPr>
        <w:spacing w:line="240" w:lineRule="auto"/>
        <w:jc w:val="both"/>
        <w:rPr>
          <w:rFonts w:ascii="Times New Roman" w:eastAsia="Times New Roman" w:hAnsi="Times New Roman" w:cs="Times New Roman"/>
          <w:sz w:val="22"/>
          <w:szCs w:val="22"/>
          <w:lang w:eastAsia="zh-CN"/>
        </w:rPr>
      </w:pPr>
    </w:p>
    <w:p w14:paraId="16109C91" w14:textId="5E91443C" w:rsidR="0004649E" w:rsidRPr="00BC0D54" w:rsidRDefault="00F576E7" w:rsidP="4F442426">
      <w:pPr>
        <w:spacing w:line="240" w:lineRule="auto"/>
        <w:jc w:val="both"/>
        <w:rPr>
          <w:rFonts w:ascii="Times New Roman" w:eastAsia="Times New Roman" w:hAnsi="Times New Roman" w:cs="Times New Roman"/>
          <w:b/>
          <w:bCs/>
          <w:sz w:val="22"/>
          <w:szCs w:val="22"/>
          <w:lang w:eastAsia="zh-CN"/>
        </w:rPr>
      </w:pPr>
      <w:r>
        <w:rPr>
          <w:rFonts w:ascii="Times New Roman" w:eastAsia="Times New Roman" w:hAnsi="Times New Roman" w:cs="Times New Roman"/>
          <w:b/>
          <w:bCs/>
          <w:sz w:val="22"/>
          <w:szCs w:val="22"/>
          <w:lang w:eastAsia="zh-CN"/>
        </w:rPr>
        <w:t>REFERENCES</w:t>
      </w:r>
    </w:p>
    <w:p w14:paraId="4F9E42D5" w14:textId="77777777" w:rsidR="006417B3" w:rsidRPr="006417B3" w:rsidRDefault="00224F90" w:rsidP="00102DE1">
      <w:pPr>
        <w:pStyle w:val="Bibliography"/>
        <w:spacing w:line="240" w:lineRule="auto"/>
        <w:rPr>
          <w:rFonts w:ascii="Times New Roman" w:eastAsia="Times New Roman" w:hAnsi="Times New Roman" w:cs="Times New Roman"/>
          <w:sz w:val="22"/>
          <w:szCs w:val="22"/>
        </w:rPr>
      </w:pPr>
      <w:r w:rsidRPr="4F442426">
        <w:rPr>
          <w:rFonts w:ascii="Arial Nova" w:hAnsi="Arial Nova" w:cs="Arial Nova"/>
          <w:sz w:val="22"/>
          <w:szCs w:val="22"/>
          <w:lang w:eastAsia="zh-CN"/>
        </w:rPr>
        <w:fldChar w:fldCharType="begin"/>
      </w:r>
      <w:r w:rsidRPr="4F442426">
        <w:rPr>
          <w:rFonts w:ascii="Arial Nova" w:hAnsi="Arial Nova" w:cs="Arial Nova"/>
          <w:sz w:val="22"/>
          <w:szCs w:val="22"/>
          <w:lang w:eastAsia="zh-CN"/>
        </w:rPr>
        <w:instrText xml:space="preserve"> ADDIN ZOTERO_BIBL {"uncited":[],"omitted":[],"custom":[]} CSL_BIBLIOGRAPHY </w:instrText>
      </w:r>
      <w:r w:rsidRPr="4F442426">
        <w:rPr>
          <w:rFonts w:ascii="Arial Nova" w:hAnsi="Arial Nova" w:cs="Arial Nova"/>
          <w:sz w:val="22"/>
          <w:szCs w:val="22"/>
          <w:lang w:eastAsia="zh-CN"/>
        </w:rPr>
        <w:fldChar w:fldCharType="separate"/>
      </w:r>
      <w:r w:rsidR="006417B3" w:rsidRPr="4F442426">
        <w:rPr>
          <w:rFonts w:ascii="Times New Roman" w:eastAsia="Times New Roman" w:hAnsi="Times New Roman" w:cs="Times New Roman"/>
          <w:sz w:val="22"/>
          <w:szCs w:val="22"/>
        </w:rPr>
        <w:t xml:space="preserve">De Korte, E. M., Spiekman, M., Hoes-van Oeffelen, L., Van Der Zande, B., Vissenberg, G., Huiskes, G., &amp; Kuijt-Evers, L. F. M. (2015). Personal environmental control: Effects of pre-set conditions for heating and lighting on personal settings, task performance and comfort experience. </w:t>
      </w:r>
      <w:r w:rsidR="006417B3" w:rsidRPr="4F442426">
        <w:rPr>
          <w:rFonts w:ascii="Times New Roman" w:eastAsia="Times New Roman" w:hAnsi="Times New Roman" w:cs="Times New Roman"/>
          <w:i/>
          <w:iCs/>
          <w:sz w:val="22"/>
          <w:szCs w:val="22"/>
        </w:rPr>
        <w:t>Building and Environment</w:t>
      </w:r>
      <w:r w:rsidR="006417B3" w:rsidRPr="4F442426">
        <w:rPr>
          <w:rFonts w:ascii="Times New Roman" w:eastAsia="Times New Roman" w:hAnsi="Times New Roman" w:cs="Times New Roman"/>
          <w:sz w:val="22"/>
          <w:szCs w:val="22"/>
        </w:rPr>
        <w:t xml:space="preserve">, </w:t>
      </w:r>
      <w:r w:rsidR="006417B3" w:rsidRPr="4F442426">
        <w:rPr>
          <w:rFonts w:ascii="Times New Roman" w:eastAsia="Times New Roman" w:hAnsi="Times New Roman" w:cs="Times New Roman"/>
          <w:i/>
          <w:iCs/>
          <w:sz w:val="22"/>
          <w:szCs w:val="22"/>
        </w:rPr>
        <w:t>86</w:t>
      </w:r>
      <w:r w:rsidR="006417B3" w:rsidRPr="4F442426">
        <w:rPr>
          <w:rFonts w:ascii="Times New Roman" w:eastAsia="Times New Roman" w:hAnsi="Times New Roman" w:cs="Times New Roman"/>
          <w:sz w:val="22"/>
          <w:szCs w:val="22"/>
        </w:rPr>
        <w:t>, 166–176. https://doi.org/10.1016/j.buildenv.2015.01.002</w:t>
      </w:r>
    </w:p>
    <w:p w14:paraId="0576D22E" w14:textId="77777777" w:rsidR="006417B3" w:rsidRPr="006417B3" w:rsidRDefault="006417B3" w:rsidP="00102DE1">
      <w:pPr>
        <w:pStyle w:val="Bibliography"/>
        <w:spacing w:line="240" w:lineRule="auto"/>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rPr>
        <w:t xml:space="preserve">Lesina Debiasi, L. (2020). </w:t>
      </w:r>
      <w:r w:rsidRPr="4F442426">
        <w:rPr>
          <w:rFonts w:ascii="Times New Roman" w:eastAsia="Times New Roman" w:hAnsi="Times New Roman" w:cs="Times New Roman"/>
          <w:i/>
          <w:iCs/>
          <w:sz w:val="22"/>
          <w:szCs w:val="22"/>
        </w:rPr>
        <w:t>Illuminating Preference: Rethinking Colored Lighting in Workplace Environments</w:t>
      </w:r>
      <w:r w:rsidRPr="4F442426">
        <w:rPr>
          <w:rFonts w:ascii="Times New Roman" w:eastAsia="Times New Roman" w:hAnsi="Times New Roman" w:cs="Times New Roman"/>
          <w:sz w:val="22"/>
          <w:szCs w:val="22"/>
        </w:rPr>
        <w:t xml:space="preserve"> [Thesis, Massachusetts Institute of Technology]. https://dspace.mit.edu/handle/1721.1/130183</w:t>
      </w:r>
    </w:p>
    <w:p w14:paraId="3A69D84C" w14:textId="77777777" w:rsidR="006417B3" w:rsidRPr="006417B3" w:rsidRDefault="006417B3" w:rsidP="00102DE1">
      <w:pPr>
        <w:pStyle w:val="Bibliography"/>
        <w:spacing w:line="240" w:lineRule="auto"/>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rPr>
        <w:t xml:space="preserve">Papinutto, M., Colombo, M., Golsouzidou, M., Reutter, K., Lalanne, D., &amp; Nembrini, J. (2021). Towards the integration of personal task-lighting in an optimised balance between electric lighting and daylighting: A user-centred study of emotion, visual comfort, interaction and </w:t>
      </w:r>
      <w:r w:rsidRPr="4F442426">
        <w:rPr>
          <w:rFonts w:ascii="Times New Roman" w:eastAsia="Times New Roman" w:hAnsi="Times New Roman" w:cs="Times New Roman"/>
          <w:sz w:val="22"/>
          <w:szCs w:val="22"/>
        </w:rPr>
        <w:t xml:space="preserve">form-factor of task lights. </w:t>
      </w:r>
      <w:r w:rsidRPr="4F442426">
        <w:rPr>
          <w:rFonts w:ascii="Times New Roman" w:eastAsia="Times New Roman" w:hAnsi="Times New Roman" w:cs="Times New Roman"/>
          <w:i/>
          <w:iCs/>
          <w:sz w:val="22"/>
          <w:szCs w:val="22"/>
        </w:rPr>
        <w:t>Journal of Physics: Conference Series</w:t>
      </w:r>
      <w:r w:rsidRPr="4F442426">
        <w:rPr>
          <w:rFonts w:ascii="Times New Roman" w:eastAsia="Times New Roman" w:hAnsi="Times New Roman" w:cs="Times New Roman"/>
          <w:sz w:val="22"/>
          <w:szCs w:val="22"/>
        </w:rPr>
        <w:t xml:space="preserve">, </w:t>
      </w:r>
      <w:r w:rsidRPr="4F442426">
        <w:rPr>
          <w:rFonts w:ascii="Times New Roman" w:eastAsia="Times New Roman" w:hAnsi="Times New Roman" w:cs="Times New Roman"/>
          <w:i/>
          <w:iCs/>
          <w:sz w:val="22"/>
          <w:szCs w:val="22"/>
        </w:rPr>
        <w:t>2042</w:t>
      </w:r>
      <w:r w:rsidRPr="4F442426">
        <w:rPr>
          <w:rFonts w:ascii="Times New Roman" w:eastAsia="Times New Roman" w:hAnsi="Times New Roman" w:cs="Times New Roman"/>
          <w:sz w:val="22"/>
          <w:szCs w:val="22"/>
        </w:rPr>
        <w:t>(1), 012115. https://doi.org/10.1088/1742-6596/2042/1/012115</w:t>
      </w:r>
    </w:p>
    <w:p w14:paraId="099BAE2F" w14:textId="77777777" w:rsidR="006417B3" w:rsidRPr="006417B3" w:rsidRDefault="006417B3" w:rsidP="00102DE1">
      <w:pPr>
        <w:pStyle w:val="Bibliography"/>
        <w:spacing w:line="240" w:lineRule="auto"/>
        <w:rPr>
          <w:rFonts w:ascii="Times New Roman" w:eastAsia="Times New Roman" w:hAnsi="Times New Roman" w:cs="Times New Roman"/>
          <w:sz w:val="22"/>
          <w:szCs w:val="22"/>
        </w:rPr>
      </w:pPr>
      <w:r w:rsidRPr="4F442426">
        <w:rPr>
          <w:rFonts w:ascii="Times New Roman" w:eastAsia="Times New Roman" w:hAnsi="Times New Roman" w:cs="Times New Roman"/>
          <w:sz w:val="22"/>
          <w:szCs w:val="22"/>
        </w:rPr>
        <w:t xml:space="preserve">Tekler, Z. D., Ono, E., Peng, Y., Zhan, S., Lasternas, B., &amp; Chong, A. (2022). ROBOD, room-level occupancy and building operation dataset. </w:t>
      </w:r>
      <w:r w:rsidRPr="4F442426">
        <w:rPr>
          <w:rFonts w:ascii="Times New Roman" w:eastAsia="Times New Roman" w:hAnsi="Times New Roman" w:cs="Times New Roman"/>
          <w:i/>
          <w:iCs/>
          <w:sz w:val="22"/>
          <w:szCs w:val="22"/>
        </w:rPr>
        <w:t>Building Simulation</w:t>
      </w:r>
      <w:r w:rsidRPr="4F442426">
        <w:rPr>
          <w:rFonts w:ascii="Times New Roman" w:eastAsia="Times New Roman" w:hAnsi="Times New Roman" w:cs="Times New Roman"/>
          <w:sz w:val="22"/>
          <w:szCs w:val="22"/>
        </w:rPr>
        <w:t xml:space="preserve">, </w:t>
      </w:r>
      <w:r w:rsidRPr="4F442426">
        <w:rPr>
          <w:rFonts w:ascii="Times New Roman" w:eastAsia="Times New Roman" w:hAnsi="Times New Roman" w:cs="Times New Roman"/>
          <w:i/>
          <w:iCs/>
          <w:sz w:val="22"/>
          <w:szCs w:val="22"/>
        </w:rPr>
        <w:t>15</w:t>
      </w:r>
      <w:r w:rsidRPr="4F442426">
        <w:rPr>
          <w:rFonts w:ascii="Times New Roman" w:eastAsia="Times New Roman" w:hAnsi="Times New Roman" w:cs="Times New Roman"/>
          <w:sz w:val="22"/>
          <w:szCs w:val="22"/>
        </w:rPr>
        <w:t>(12), 2127–2137. https://doi.org/10.1007/s12273-022-0925-9</w:t>
      </w:r>
    </w:p>
    <w:p w14:paraId="5638E7B7" w14:textId="5DD83B2D" w:rsidR="0004649E" w:rsidRPr="00A260C4" w:rsidRDefault="00224F90" w:rsidP="00102DE1">
      <w:pPr>
        <w:spacing w:line="240" w:lineRule="auto"/>
        <w:jc w:val="both"/>
        <w:rPr>
          <w:rFonts w:ascii="Times New Roman" w:eastAsia="Times New Roman" w:hAnsi="Times New Roman" w:cs="Times New Roman"/>
          <w:sz w:val="22"/>
          <w:szCs w:val="22"/>
          <w:lang w:eastAsia="zh-CN"/>
        </w:rPr>
      </w:pPr>
      <w:r w:rsidRPr="4F442426">
        <w:rPr>
          <w:rFonts w:ascii="Arial Nova" w:hAnsi="Arial Nova" w:cs="Arial Nova"/>
          <w:sz w:val="22"/>
          <w:szCs w:val="22"/>
          <w:lang w:eastAsia="zh-CN"/>
        </w:rPr>
        <w:fldChar w:fldCharType="end"/>
      </w:r>
    </w:p>
    <w:sectPr w:rsidR="0004649E" w:rsidRPr="00A260C4" w:rsidSect="00FE239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0484E" w14:textId="77777777" w:rsidR="006965FC" w:rsidRDefault="006965FC" w:rsidP="00D8123B">
      <w:pPr>
        <w:spacing w:after="0" w:line="240" w:lineRule="auto"/>
      </w:pPr>
      <w:r>
        <w:separator/>
      </w:r>
    </w:p>
  </w:endnote>
  <w:endnote w:type="continuationSeparator" w:id="0">
    <w:p w14:paraId="1BB3AD08" w14:textId="77777777" w:rsidR="006965FC" w:rsidRDefault="006965FC" w:rsidP="00D8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910B1" w14:textId="77777777" w:rsidR="006965FC" w:rsidRDefault="006965FC" w:rsidP="00D8123B">
      <w:pPr>
        <w:spacing w:after="0" w:line="240" w:lineRule="auto"/>
      </w:pPr>
      <w:r>
        <w:separator/>
      </w:r>
    </w:p>
  </w:footnote>
  <w:footnote w:type="continuationSeparator" w:id="0">
    <w:p w14:paraId="3E3D6AB0" w14:textId="77777777" w:rsidR="006965FC" w:rsidRDefault="006965FC" w:rsidP="00D81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EDB6"/>
    <w:multiLevelType w:val="hybridMultilevel"/>
    <w:tmpl w:val="CA54796C"/>
    <w:lvl w:ilvl="0" w:tplc="8A14AE56">
      <w:start w:val="1"/>
      <w:numFmt w:val="bullet"/>
      <w:lvlText w:val=""/>
      <w:lvlJc w:val="left"/>
      <w:pPr>
        <w:ind w:left="720" w:hanging="360"/>
      </w:pPr>
      <w:rPr>
        <w:rFonts w:ascii="Symbol" w:hAnsi="Symbol" w:hint="default"/>
      </w:rPr>
    </w:lvl>
    <w:lvl w:ilvl="1" w:tplc="86E22882">
      <w:start w:val="1"/>
      <w:numFmt w:val="bullet"/>
      <w:lvlText w:val="o"/>
      <w:lvlJc w:val="left"/>
      <w:pPr>
        <w:ind w:left="1440" w:hanging="360"/>
      </w:pPr>
      <w:rPr>
        <w:rFonts w:ascii="Courier New" w:hAnsi="Courier New" w:hint="default"/>
      </w:rPr>
    </w:lvl>
    <w:lvl w:ilvl="2" w:tplc="664283A0">
      <w:start w:val="1"/>
      <w:numFmt w:val="bullet"/>
      <w:lvlText w:val=""/>
      <w:lvlJc w:val="left"/>
      <w:pPr>
        <w:ind w:left="2160" w:hanging="360"/>
      </w:pPr>
      <w:rPr>
        <w:rFonts w:ascii="Wingdings" w:hAnsi="Wingdings" w:hint="default"/>
      </w:rPr>
    </w:lvl>
    <w:lvl w:ilvl="3" w:tplc="38B6285C">
      <w:start w:val="1"/>
      <w:numFmt w:val="bullet"/>
      <w:lvlText w:val=""/>
      <w:lvlJc w:val="left"/>
      <w:pPr>
        <w:ind w:left="2880" w:hanging="360"/>
      </w:pPr>
      <w:rPr>
        <w:rFonts w:ascii="Symbol" w:hAnsi="Symbol" w:hint="default"/>
      </w:rPr>
    </w:lvl>
    <w:lvl w:ilvl="4" w:tplc="C3E6E73C">
      <w:start w:val="1"/>
      <w:numFmt w:val="bullet"/>
      <w:lvlText w:val="o"/>
      <w:lvlJc w:val="left"/>
      <w:pPr>
        <w:ind w:left="3600" w:hanging="360"/>
      </w:pPr>
      <w:rPr>
        <w:rFonts w:ascii="Courier New" w:hAnsi="Courier New" w:hint="default"/>
      </w:rPr>
    </w:lvl>
    <w:lvl w:ilvl="5" w:tplc="9426018C">
      <w:start w:val="1"/>
      <w:numFmt w:val="bullet"/>
      <w:lvlText w:val=""/>
      <w:lvlJc w:val="left"/>
      <w:pPr>
        <w:ind w:left="4320" w:hanging="360"/>
      </w:pPr>
      <w:rPr>
        <w:rFonts w:ascii="Wingdings" w:hAnsi="Wingdings" w:hint="default"/>
      </w:rPr>
    </w:lvl>
    <w:lvl w:ilvl="6" w:tplc="A6C8D856">
      <w:start w:val="1"/>
      <w:numFmt w:val="bullet"/>
      <w:lvlText w:val=""/>
      <w:lvlJc w:val="left"/>
      <w:pPr>
        <w:ind w:left="5040" w:hanging="360"/>
      </w:pPr>
      <w:rPr>
        <w:rFonts w:ascii="Symbol" w:hAnsi="Symbol" w:hint="default"/>
      </w:rPr>
    </w:lvl>
    <w:lvl w:ilvl="7" w:tplc="ECAC3DC4">
      <w:start w:val="1"/>
      <w:numFmt w:val="bullet"/>
      <w:lvlText w:val="o"/>
      <w:lvlJc w:val="left"/>
      <w:pPr>
        <w:ind w:left="5760" w:hanging="360"/>
      </w:pPr>
      <w:rPr>
        <w:rFonts w:ascii="Courier New" w:hAnsi="Courier New" w:hint="default"/>
      </w:rPr>
    </w:lvl>
    <w:lvl w:ilvl="8" w:tplc="E346766C">
      <w:start w:val="1"/>
      <w:numFmt w:val="bullet"/>
      <w:lvlText w:val=""/>
      <w:lvlJc w:val="left"/>
      <w:pPr>
        <w:ind w:left="6480" w:hanging="360"/>
      </w:pPr>
      <w:rPr>
        <w:rFonts w:ascii="Wingdings" w:hAnsi="Wingdings" w:hint="default"/>
      </w:rPr>
    </w:lvl>
  </w:abstractNum>
  <w:abstractNum w:abstractNumId="1" w15:restartNumberingAfterBreak="0">
    <w:nsid w:val="06896427"/>
    <w:multiLevelType w:val="hybridMultilevel"/>
    <w:tmpl w:val="7F1CCF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57000E"/>
    <w:multiLevelType w:val="hybridMultilevel"/>
    <w:tmpl w:val="C8C49C24"/>
    <w:lvl w:ilvl="0" w:tplc="7ECCEE72">
      <w:start w:val="1"/>
      <w:numFmt w:val="decimal"/>
      <w:lvlText w:val="%1."/>
      <w:lvlJc w:val="left"/>
      <w:pPr>
        <w:ind w:left="720" w:hanging="360"/>
      </w:pPr>
    </w:lvl>
    <w:lvl w:ilvl="1" w:tplc="31B2EB84">
      <w:start w:val="1"/>
      <w:numFmt w:val="lowerLetter"/>
      <w:lvlText w:val="%2."/>
      <w:lvlJc w:val="left"/>
      <w:pPr>
        <w:ind w:left="1440" w:hanging="360"/>
      </w:pPr>
    </w:lvl>
    <w:lvl w:ilvl="2" w:tplc="E940C2A8">
      <w:start w:val="1"/>
      <w:numFmt w:val="lowerRoman"/>
      <w:lvlText w:val="%3."/>
      <w:lvlJc w:val="right"/>
      <w:pPr>
        <w:ind w:left="2160" w:hanging="180"/>
      </w:pPr>
    </w:lvl>
    <w:lvl w:ilvl="3" w:tplc="4C0E407E">
      <w:start w:val="1"/>
      <w:numFmt w:val="decimal"/>
      <w:lvlText w:val="%4."/>
      <w:lvlJc w:val="left"/>
      <w:pPr>
        <w:ind w:left="2880" w:hanging="360"/>
      </w:pPr>
    </w:lvl>
    <w:lvl w:ilvl="4" w:tplc="A588EFEA">
      <w:start w:val="1"/>
      <w:numFmt w:val="lowerLetter"/>
      <w:lvlText w:val="%5."/>
      <w:lvlJc w:val="left"/>
      <w:pPr>
        <w:ind w:left="3600" w:hanging="360"/>
      </w:pPr>
    </w:lvl>
    <w:lvl w:ilvl="5" w:tplc="982AFCB8">
      <w:start w:val="1"/>
      <w:numFmt w:val="lowerRoman"/>
      <w:lvlText w:val="%6."/>
      <w:lvlJc w:val="right"/>
      <w:pPr>
        <w:ind w:left="4320" w:hanging="180"/>
      </w:pPr>
    </w:lvl>
    <w:lvl w:ilvl="6" w:tplc="D48C91D6">
      <w:start w:val="1"/>
      <w:numFmt w:val="decimal"/>
      <w:lvlText w:val="%7."/>
      <w:lvlJc w:val="left"/>
      <w:pPr>
        <w:ind w:left="5040" w:hanging="360"/>
      </w:pPr>
    </w:lvl>
    <w:lvl w:ilvl="7" w:tplc="656EABC6">
      <w:start w:val="1"/>
      <w:numFmt w:val="lowerLetter"/>
      <w:lvlText w:val="%8."/>
      <w:lvlJc w:val="left"/>
      <w:pPr>
        <w:ind w:left="5760" w:hanging="360"/>
      </w:pPr>
    </w:lvl>
    <w:lvl w:ilvl="8" w:tplc="3D264476">
      <w:start w:val="1"/>
      <w:numFmt w:val="lowerRoman"/>
      <w:lvlText w:val="%9."/>
      <w:lvlJc w:val="right"/>
      <w:pPr>
        <w:ind w:left="6480" w:hanging="180"/>
      </w:pPr>
    </w:lvl>
  </w:abstractNum>
  <w:abstractNum w:abstractNumId="3" w15:restartNumberingAfterBreak="0">
    <w:nsid w:val="42646AE5"/>
    <w:multiLevelType w:val="hybridMultilevel"/>
    <w:tmpl w:val="E6D2B78A"/>
    <w:lvl w:ilvl="0" w:tplc="D636679A">
      <w:start w:val="1"/>
      <w:numFmt w:val="bullet"/>
      <w:lvlText w:val=""/>
      <w:lvlJc w:val="left"/>
      <w:pPr>
        <w:ind w:left="720" w:hanging="360"/>
      </w:pPr>
      <w:rPr>
        <w:rFonts w:ascii="Symbol" w:hAnsi="Symbol" w:hint="default"/>
      </w:rPr>
    </w:lvl>
    <w:lvl w:ilvl="1" w:tplc="1DA0DC20">
      <w:start w:val="1"/>
      <w:numFmt w:val="bullet"/>
      <w:lvlText w:val="o"/>
      <w:lvlJc w:val="left"/>
      <w:pPr>
        <w:ind w:left="1440" w:hanging="360"/>
      </w:pPr>
      <w:rPr>
        <w:rFonts w:ascii="Courier New" w:hAnsi="Courier New" w:hint="default"/>
      </w:rPr>
    </w:lvl>
    <w:lvl w:ilvl="2" w:tplc="464AF28E">
      <w:start w:val="1"/>
      <w:numFmt w:val="bullet"/>
      <w:lvlText w:val=""/>
      <w:lvlJc w:val="left"/>
      <w:pPr>
        <w:ind w:left="2160" w:hanging="360"/>
      </w:pPr>
      <w:rPr>
        <w:rFonts w:ascii="Wingdings" w:hAnsi="Wingdings" w:hint="default"/>
      </w:rPr>
    </w:lvl>
    <w:lvl w:ilvl="3" w:tplc="EC68F12C">
      <w:start w:val="1"/>
      <w:numFmt w:val="bullet"/>
      <w:lvlText w:val=""/>
      <w:lvlJc w:val="left"/>
      <w:pPr>
        <w:ind w:left="2880" w:hanging="360"/>
      </w:pPr>
      <w:rPr>
        <w:rFonts w:ascii="Symbol" w:hAnsi="Symbol" w:hint="default"/>
      </w:rPr>
    </w:lvl>
    <w:lvl w:ilvl="4" w:tplc="C750EC98">
      <w:start w:val="1"/>
      <w:numFmt w:val="bullet"/>
      <w:lvlText w:val="o"/>
      <w:lvlJc w:val="left"/>
      <w:pPr>
        <w:ind w:left="3600" w:hanging="360"/>
      </w:pPr>
      <w:rPr>
        <w:rFonts w:ascii="Courier New" w:hAnsi="Courier New" w:hint="default"/>
      </w:rPr>
    </w:lvl>
    <w:lvl w:ilvl="5" w:tplc="4C4A2B2E">
      <w:start w:val="1"/>
      <w:numFmt w:val="bullet"/>
      <w:lvlText w:val=""/>
      <w:lvlJc w:val="left"/>
      <w:pPr>
        <w:ind w:left="4320" w:hanging="360"/>
      </w:pPr>
      <w:rPr>
        <w:rFonts w:ascii="Wingdings" w:hAnsi="Wingdings" w:hint="default"/>
      </w:rPr>
    </w:lvl>
    <w:lvl w:ilvl="6" w:tplc="F9200322">
      <w:start w:val="1"/>
      <w:numFmt w:val="bullet"/>
      <w:lvlText w:val=""/>
      <w:lvlJc w:val="left"/>
      <w:pPr>
        <w:ind w:left="5040" w:hanging="360"/>
      </w:pPr>
      <w:rPr>
        <w:rFonts w:ascii="Symbol" w:hAnsi="Symbol" w:hint="default"/>
      </w:rPr>
    </w:lvl>
    <w:lvl w:ilvl="7" w:tplc="94805F9A">
      <w:start w:val="1"/>
      <w:numFmt w:val="bullet"/>
      <w:lvlText w:val="o"/>
      <w:lvlJc w:val="left"/>
      <w:pPr>
        <w:ind w:left="5760" w:hanging="360"/>
      </w:pPr>
      <w:rPr>
        <w:rFonts w:ascii="Courier New" w:hAnsi="Courier New" w:hint="default"/>
      </w:rPr>
    </w:lvl>
    <w:lvl w:ilvl="8" w:tplc="015A2A92">
      <w:start w:val="1"/>
      <w:numFmt w:val="bullet"/>
      <w:lvlText w:val=""/>
      <w:lvlJc w:val="left"/>
      <w:pPr>
        <w:ind w:left="6480" w:hanging="360"/>
      </w:pPr>
      <w:rPr>
        <w:rFonts w:ascii="Wingdings" w:hAnsi="Wingdings" w:hint="default"/>
      </w:rPr>
    </w:lvl>
  </w:abstractNum>
  <w:abstractNum w:abstractNumId="4" w15:restartNumberingAfterBreak="0">
    <w:nsid w:val="4A5DAA24"/>
    <w:multiLevelType w:val="hybridMultilevel"/>
    <w:tmpl w:val="14EABA1C"/>
    <w:lvl w:ilvl="0" w:tplc="7696E33E">
      <w:start w:val="1"/>
      <w:numFmt w:val="bullet"/>
      <w:lvlText w:val=""/>
      <w:lvlJc w:val="left"/>
      <w:pPr>
        <w:ind w:left="720" w:hanging="360"/>
      </w:pPr>
      <w:rPr>
        <w:rFonts w:ascii="Symbol" w:hAnsi="Symbol" w:hint="default"/>
      </w:rPr>
    </w:lvl>
    <w:lvl w:ilvl="1" w:tplc="77D2450C">
      <w:start w:val="1"/>
      <w:numFmt w:val="bullet"/>
      <w:lvlText w:val="o"/>
      <w:lvlJc w:val="left"/>
      <w:pPr>
        <w:ind w:left="1440" w:hanging="360"/>
      </w:pPr>
      <w:rPr>
        <w:rFonts w:ascii="Courier New" w:hAnsi="Courier New" w:hint="default"/>
      </w:rPr>
    </w:lvl>
    <w:lvl w:ilvl="2" w:tplc="35880FB2">
      <w:start w:val="1"/>
      <w:numFmt w:val="bullet"/>
      <w:lvlText w:val=""/>
      <w:lvlJc w:val="left"/>
      <w:pPr>
        <w:ind w:left="2160" w:hanging="360"/>
      </w:pPr>
      <w:rPr>
        <w:rFonts w:ascii="Wingdings" w:hAnsi="Wingdings" w:hint="default"/>
      </w:rPr>
    </w:lvl>
    <w:lvl w:ilvl="3" w:tplc="63A2B6B0">
      <w:start w:val="1"/>
      <w:numFmt w:val="bullet"/>
      <w:lvlText w:val=""/>
      <w:lvlJc w:val="left"/>
      <w:pPr>
        <w:ind w:left="2880" w:hanging="360"/>
      </w:pPr>
      <w:rPr>
        <w:rFonts w:ascii="Symbol" w:hAnsi="Symbol" w:hint="default"/>
      </w:rPr>
    </w:lvl>
    <w:lvl w:ilvl="4" w:tplc="08089F5C">
      <w:start w:val="1"/>
      <w:numFmt w:val="bullet"/>
      <w:lvlText w:val="o"/>
      <w:lvlJc w:val="left"/>
      <w:pPr>
        <w:ind w:left="3600" w:hanging="360"/>
      </w:pPr>
      <w:rPr>
        <w:rFonts w:ascii="Courier New" w:hAnsi="Courier New" w:hint="default"/>
      </w:rPr>
    </w:lvl>
    <w:lvl w:ilvl="5" w:tplc="130C000C">
      <w:start w:val="1"/>
      <w:numFmt w:val="bullet"/>
      <w:lvlText w:val=""/>
      <w:lvlJc w:val="left"/>
      <w:pPr>
        <w:ind w:left="4320" w:hanging="360"/>
      </w:pPr>
      <w:rPr>
        <w:rFonts w:ascii="Wingdings" w:hAnsi="Wingdings" w:hint="default"/>
      </w:rPr>
    </w:lvl>
    <w:lvl w:ilvl="6" w:tplc="20D84DA6">
      <w:start w:val="1"/>
      <w:numFmt w:val="bullet"/>
      <w:lvlText w:val=""/>
      <w:lvlJc w:val="left"/>
      <w:pPr>
        <w:ind w:left="5040" w:hanging="360"/>
      </w:pPr>
      <w:rPr>
        <w:rFonts w:ascii="Symbol" w:hAnsi="Symbol" w:hint="default"/>
      </w:rPr>
    </w:lvl>
    <w:lvl w:ilvl="7" w:tplc="37E80D2E">
      <w:start w:val="1"/>
      <w:numFmt w:val="bullet"/>
      <w:lvlText w:val="o"/>
      <w:lvlJc w:val="left"/>
      <w:pPr>
        <w:ind w:left="5760" w:hanging="360"/>
      </w:pPr>
      <w:rPr>
        <w:rFonts w:ascii="Courier New" w:hAnsi="Courier New" w:hint="default"/>
      </w:rPr>
    </w:lvl>
    <w:lvl w:ilvl="8" w:tplc="DC5C44CE">
      <w:start w:val="1"/>
      <w:numFmt w:val="bullet"/>
      <w:lvlText w:val=""/>
      <w:lvlJc w:val="left"/>
      <w:pPr>
        <w:ind w:left="6480" w:hanging="360"/>
      </w:pPr>
      <w:rPr>
        <w:rFonts w:ascii="Wingdings" w:hAnsi="Wingdings" w:hint="default"/>
      </w:rPr>
    </w:lvl>
  </w:abstractNum>
  <w:abstractNum w:abstractNumId="5" w15:restartNumberingAfterBreak="0">
    <w:nsid w:val="59D48AA2"/>
    <w:multiLevelType w:val="hybridMultilevel"/>
    <w:tmpl w:val="3C9EC880"/>
    <w:lvl w:ilvl="0" w:tplc="9170070C">
      <w:start w:val="1"/>
      <w:numFmt w:val="bullet"/>
      <w:lvlText w:val="-"/>
      <w:lvlJc w:val="left"/>
      <w:pPr>
        <w:ind w:left="720" w:hanging="360"/>
      </w:pPr>
      <w:rPr>
        <w:rFonts w:ascii="Aptos" w:hAnsi="Aptos" w:hint="default"/>
      </w:rPr>
    </w:lvl>
    <w:lvl w:ilvl="1" w:tplc="CDA25B0E">
      <w:start w:val="1"/>
      <w:numFmt w:val="bullet"/>
      <w:lvlText w:val="o"/>
      <w:lvlJc w:val="left"/>
      <w:pPr>
        <w:ind w:left="1440" w:hanging="360"/>
      </w:pPr>
      <w:rPr>
        <w:rFonts w:ascii="Courier New" w:hAnsi="Courier New" w:hint="default"/>
      </w:rPr>
    </w:lvl>
    <w:lvl w:ilvl="2" w:tplc="B57CC908">
      <w:start w:val="1"/>
      <w:numFmt w:val="bullet"/>
      <w:lvlText w:val=""/>
      <w:lvlJc w:val="left"/>
      <w:pPr>
        <w:ind w:left="2160" w:hanging="360"/>
      </w:pPr>
      <w:rPr>
        <w:rFonts w:ascii="Wingdings" w:hAnsi="Wingdings" w:hint="default"/>
      </w:rPr>
    </w:lvl>
    <w:lvl w:ilvl="3" w:tplc="AEF220D4">
      <w:start w:val="1"/>
      <w:numFmt w:val="bullet"/>
      <w:lvlText w:val=""/>
      <w:lvlJc w:val="left"/>
      <w:pPr>
        <w:ind w:left="2880" w:hanging="360"/>
      </w:pPr>
      <w:rPr>
        <w:rFonts w:ascii="Symbol" w:hAnsi="Symbol" w:hint="default"/>
      </w:rPr>
    </w:lvl>
    <w:lvl w:ilvl="4" w:tplc="AC864170">
      <w:start w:val="1"/>
      <w:numFmt w:val="bullet"/>
      <w:lvlText w:val="o"/>
      <w:lvlJc w:val="left"/>
      <w:pPr>
        <w:ind w:left="3600" w:hanging="360"/>
      </w:pPr>
      <w:rPr>
        <w:rFonts w:ascii="Courier New" w:hAnsi="Courier New" w:hint="default"/>
      </w:rPr>
    </w:lvl>
    <w:lvl w:ilvl="5" w:tplc="D2549D96">
      <w:start w:val="1"/>
      <w:numFmt w:val="bullet"/>
      <w:lvlText w:val=""/>
      <w:lvlJc w:val="left"/>
      <w:pPr>
        <w:ind w:left="4320" w:hanging="360"/>
      </w:pPr>
      <w:rPr>
        <w:rFonts w:ascii="Wingdings" w:hAnsi="Wingdings" w:hint="default"/>
      </w:rPr>
    </w:lvl>
    <w:lvl w:ilvl="6" w:tplc="2ED64536">
      <w:start w:val="1"/>
      <w:numFmt w:val="bullet"/>
      <w:lvlText w:val=""/>
      <w:lvlJc w:val="left"/>
      <w:pPr>
        <w:ind w:left="5040" w:hanging="360"/>
      </w:pPr>
      <w:rPr>
        <w:rFonts w:ascii="Symbol" w:hAnsi="Symbol" w:hint="default"/>
      </w:rPr>
    </w:lvl>
    <w:lvl w:ilvl="7" w:tplc="A1828606">
      <w:start w:val="1"/>
      <w:numFmt w:val="bullet"/>
      <w:lvlText w:val="o"/>
      <w:lvlJc w:val="left"/>
      <w:pPr>
        <w:ind w:left="5760" w:hanging="360"/>
      </w:pPr>
      <w:rPr>
        <w:rFonts w:ascii="Courier New" w:hAnsi="Courier New" w:hint="default"/>
      </w:rPr>
    </w:lvl>
    <w:lvl w:ilvl="8" w:tplc="025E43E8">
      <w:start w:val="1"/>
      <w:numFmt w:val="bullet"/>
      <w:lvlText w:val=""/>
      <w:lvlJc w:val="left"/>
      <w:pPr>
        <w:ind w:left="6480" w:hanging="360"/>
      </w:pPr>
      <w:rPr>
        <w:rFonts w:ascii="Wingdings" w:hAnsi="Wingdings" w:hint="default"/>
      </w:rPr>
    </w:lvl>
  </w:abstractNum>
  <w:num w:numId="1" w16cid:durableId="168646592">
    <w:abstractNumId w:val="4"/>
  </w:num>
  <w:num w:numId="2" w16cid:durableId="1372535110">
    <w:abstractNumId w:val="3"/>
  </w:num>
  <w:num w:numId="3" w16cid:durableId="967199016">
    <w:abstractNumId w:val="0"/>
  </w:num>
  <w:num w:numId="4" w16cid:durableId="1071931617">
    <w:abstractNumId w:val="2"/>
  </w:num>
  <w:num w:numId="5" w16cid:durableId="225458162">
    <w:abstractNumId w:val="5"/>
  </w:num>
  <w:num w:numId="6" w16cid:durableId="142063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906783"/>
    <w:rsid w:val="0000614E"/>
    <w:rsid w:val="00014487"/>
    <w:rsid w:val="00030386"/>
    <w:rsid w:val="0004649E"/>
    <w:rsid w:val="00052607"/>
    <w:rsid w:val="00066AA4"/>
    <w:rsid w:val="000806AC"/>
    <w:rsid w:val="000B4299"/>
    <w:rsid w:val="000C344C"/>
    <w:rsid w:val="000E0F47"/>
    <w:rsid w:val="00102DE1"/>
    <w:rsid w:val="00166C69"/>
    <w:rsid w:val="0016B9BA"/>
    <w:rsid w:val="001720BF"/>
    <w:rsid w:val="001961FA"/>
    <w:rsid w:val="001A7964"/>
    <w:rsid w:val="001C2044"/>
    <w:rsid w:val="0020725C"/>
    <w:rsid w:val="002079D8"/>
    <w:rsid w:val="0021204A"/>
    <w:rsid w:val="00221AAB"/>
    <w:rsid w:val="00224F90"/>
    <w:rsid w:val="00290A2F"/>
    <w:rsid w:val="002A2E17"/>
    <w:rsid w:val="002C78A3"/>
    <w:rsid w:val="002D233D"/>
    <w:rsid w:val="002D5BEB"/>
    <w:rsid w:val="002E1DBD"/>
    <w:rsid w:val="002F06E1"/>
    <w:rsid w:val="00352E63"/>
    <w:rsid w:val="003622BE"/>
    <w:rsid w:val="00365367"/>
    <w:rsid w:val="00396B22"/>
    <w:rsid w:val="003A5302"/>
    <w:rsid w:val="003A6D82"/>
    <w:rsid w:val="003C723C"/>
    <w:rsid w:val="003E1B06"/>
    <w:rsid w:val="003E7857"/>
    <w:rsid w:val="004152FC"/>
    <w:rsid w:val="00417563"/>
    <w:rsid w:val="004541D1"/>
    <w:rsid w:val="00484955"/>
    <w:rsid w:val="00486872"/>
    <w:rsid w:val="004D0D69"/>
    <w:rsid w:val="004D4E46"/>
    <w:rsid w:val="00524FEF"/>
    <w:rsid w:val="005265AB"/>
    <w:rsid w:val="0053507C"/>
    <w:rsid w:val="005B1FEF"/>
    <w:rsid w:val="005C13E4"/>
    <w:rsid w:val="0062443B"/>
    <w:rsid w:val="006417B3"/>
    <w:rsid w:val="006965FC"/>
    <w:rsid w:val="006B231C"/>
    <w:rsid w:val="006B6A2E"/>
    <w:rsid w:val="006C0C9A"/>
    <w:rsid w:val="006C58AA"/>
    <w:rsid w:val="006C7A51"/>
    <w:rsid w:val="006D19A3"/>
    <w:rsid w:val="006E0929"/>
    <w:rsid w:val="007048B9"/>
    <w:rsid w:val="007108C1"/>
    <w:rsid w:val="00715096"/>
    <w:rsid w:val="0071563E"/>
    <w:rsid w:val="00720F9B"/>
    <w:rsid w:val="00737EEB"/>
    <w:rsid w:val="007A7299"/>
    <w:rsid w:val="007D228B"/>
    <w:rsid w:val="00806F23"/>
    <w:rsid w:val="00807B9E"/>
    <w:rsid w:val="00820472"/>
    <w:rsid w:val="008312B7"/>
    <w:rsid w:val="0084312B"/>
    <w:rsid w:val="0084328F"/>
    <w:rsid w:val="008811D2"/>
    <w:rsid w:val="00891CFC"/>
    <w:rsid w:val="008C085D"/>
    <w:rsid w:val="008C43D9"/>
    <w:rsid w:val="008E6996"/>
    <w:rsid w:val="008F3978"/>
    <w:rsid w:val="00901258"/>
    <w:rsid w:val="00923652"/>
    <w:rsid w:val="0092592D"/>
    <w:rsid w:val="00935BA1"/>
    <w:rsid w:val="00966639"/>
    <w:rsid w:val="00966EE4"/>
    <w:rsid w:val="00967390"/>
    <w:rsid w:val="00990AE3"/>
    <w:rsid w:val="009A161E"/>
    <w:rsid w:val="009C24A4"/>
    <w:rsid w:val="009D7968"/>
    <w:rsid w:val="00A260C4"/>
    <w:rsid w:val="00A93048"/>
    <w:rsid w:val="00AA08C4"/>
    <w:rsid w:val="00AA32ED"/>
    <w:rsid w:val="00AB5557"/>
    <w:rsid w:val="00B12F23"/>
    <w:rsid w:val="00B345DA"/>
    <w:rsid w:val="00B6223D"/>
    <w:rsid w:val="00B76D24"/>
    <w:rsid w:val="00BC0D54"/>
    <w:rsid w:val="00BD7DC2"/>
    <w:rsid w:val="00BF4883"/>
    <w:rsid w:val="00C02FD0"/>
    <w:rsid w:val="00C12A59"/>
    <w:rsid w:val="00C16B65"/>
    <w:rsid w:val="00C43282"/>
    <w:rsid w:val="00C50E14"/>
    <w:rsid w:val="00C557B2"/>
    <w:rsid w:val="00C7190F"/>
    <w:rsid w:val="00C731A8"/>
    <w:rsid w:val="00C877B3"/>
    <w:rsid w:val="00D02D7F"/>
    <w:rsid w:val="00D16742"/>
    <w:rsid w:val="00D4506B"/>
    <w:rsid w:val="00D50608"/>
    <w:rsid w:val="00D57312"/>
    <w:rsid w:val="00D8123B"/>
    <w:rsid w:val="00DA624A"/>
    <w:rsid w:val="00DD629D"/>
    <w:rsid w:val="00DE33FF"/>
    <w:rsid w:val="00E048D2"/>
    <w:rsid w:val="00E1040F"/>
    <w:rsid w:val="00E6269A"/>
    <w:rsid w:val="00E70139"/>
    <w:rsid w:val="00E9622A"/>
    <w:rsid w:val="00EA056D"/>
    <w:rsid w:val="00EA7410"/>
    <w:rsid w:val="00F142C5"/>
    <w:rsid w:val="00F576E7"/>
    <w:rsid w:val="00FD651B"/>
    <w:rsid w:val="00FE239E"/>
    <w:rsid w:val="00FF0055"/>
    <w:rsid w:val="00FF6C5A"/>
    <w:rsid w:val="05F0011A"/>
    <w:rsid w:val="0E2BF975"/>
    <w:rsid w:val="0E327088"/>
    <w:rsid w:val="17AEE08B"/>
    <w:rsid w:val="1C763FC5"/>
    <w:rsid w:val="24E0E0CE"/>
    <w:rsid w:val="2BEEB6C7"/>
    <w:rsid w:val="2CDA90CD"/>
    <w:rsid w:val="2DB7D9CC"/>
    <w:rsid w:val="3279FB2C"/>
    <w:rsid w:val="36D3396F"/>
    <w:rsid w:val="36F6C12B"/>
    <w:rsid w:val="3B939340"/>
    <w:rsid w:val="3D67B674"/>
    <w:rsid w:val="3D906783"/>
    <w:rsid w:val="3E126C31"/>
    <w:rsid w:val="40C58975"/>
    <w:rsid w:val="47F73842"/>
    <w:rsid w:val="482A6EA2"/>
    <w:rsid w:val="4F442426"/>
    <w:rsid w:val="4F7A00D1"/>
    <w:rsid w:val="4FCA6D30"/>
    <w:rsid w:val="54D3884A"/>
    <w:rsid w:val="5640F734"/>
    <w:rsid w:val="5684DCF6"/>
    <w:rsid w:val="56E93F06"/>
    <w:rsid w:val="62E66003"/>
    <w:rsid w:val="6D1F88CA"/>
    <w:rsid w:val="6EF958F2"/>
    <w:rsid w:val="708A4FBF"/>
    <w:rsid w:val="725AC71D"/>
    <w:rsid w:val="76AF4A59"/>
    <w:rsid w:val="76C8AD0D"/>
    <w:rsid w:val="7753F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6783"/>
  <w15:chartTrackingRefBased/>
  <w15:docId w15:val="{D4F1D2A1-422D-4F2A-900C-C1483EE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684DCF6"/>
    <w:pPr>
      <w:ind w:left="720"/>
      <w:contextualSpacing/>
    </w:pPr>
  </w:style>
  <w:style w:type="character" w:styleId="Hyperlink">
    <w:name w:val="Hyperlink"/>
    <w:basedOn w:val="DefaultParagraphFont"/>
    <w:uiPriority w:val="99"/>
    <w:unhideWhenUsed/>
    <w:rsid w:val="5684DCF6"/>
    <w:rPr>
      <w:color w:val="467886"/>
      <w:u w:val="single"/>
    </w:rPr>
  </w:style>
  <w:style w:type="character" w:styleId="FollowedHyperlink">
    <w:name w:val="FollowedHyperlink"/>
    <w:basedOn w:val="DefaultParagraphFont"/>
    <w:uiPriority w:val="99"/>
    <w:semiHidden/>
    <w:unhideWhenUsed/>
    <w:rsid w:val="00014487"/>
    <w:rPr>
      <w:color w:val="96607D" w:themeColor="followedHyperlink"/>
      <w:u w:val="single"/>
    </w:rPr>
  </w:style>
  <w:style w:type="character" w:styleId="UnresolvedMention">
    <w:name w:val="Unresolved Mention"/>
    <w:basedOn w:val="DefaultParagraphFont"/>
    <w:uiPriority w:val="99"/>
    <w:semiHidden/>
    <w:unhideWhenUsed/>
    <w:rsid w:val="00A260C4"/>
    <w:rPr>
      <w:color w:val="605E5C"/>
      <w:shd w:val="clear" w:color="auto" w:fill="E1DFDD"/>
    </w:rPr>
  </w:style>
  <w:style w:type="paragraph" w:styleId="FootnoteText">
    <w:name w:val="footnote text"/>
    <w:basedOn w:val="Normal"/>
    <w:link w:val="FootnoteTextChar"/>
    <w:uiPriority w:val="99"/>
    <w:semiHidden/>
    <w:unhideWhenUsed/>
    <w:rsid w:val="00D81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23B"/>
    <w:rPr>
      <w:sz w:val="20"/>
      <w:szCs w:val="20"/>
    </w:rPr>
  </w:style>
  <w:style w:type="character" w:styleId="FootnoteReference">
    <w:name w:val="footnote reference"/>
    <w:basedOn w:val="DefaultParagraphFont"/>
    <w:uiPriority w:val="99"/>
    <w:semiHidden/>
    <w:unhideWhenUsed/>
    <w:rsid w:val="00D8123B"/>
    <w:rPr>
      <w:vertAlign w:val="superscript"/>
    </w:rPr>
  </w:style>
  <w:style w:type="paragraph" w:styleId="Bibliography">
    <w:name w:val="Bibliography"/>
    <w:basedOn w:val="Normal"/>
    <w:next w:val="Normal"/>
    <w:uiPriority w:val="37"/>
    <w:unhideWhenUsed/>
    <w:rsid w:val="00224F90"/>
    <w:pPr>
      <w:spacing w:after="0" w:line="480" w:lineRule="auto"/>
      <w:ind w:left="720" w:hanging="720"/>
    </w:pPr>
  </w:style>
  <w:style w:type="paragraph" w:styleId="Header">
    <w:name w:val="header"/>
    <w:basedOn w:val="Normal"/>
    <w:link w:val="HeaderChar"/>
    <w:uiPriority w:val="99"/>
    <w:semiHidden/>
    <w:unhideWhenUsed/>
    <w:rsid w:val="007156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563E"/>
  </w:style>
  <w:style w:type="paragraph" w:styleId="Footer">
    <w:name w:val="footer"/>
    <w:basedOn w:val="Normal"/>
    <w:link w:val="FooterChar"/>
    <w:uiPriority w:val="99"/>
    <w:semiHidden/>
    <w:unhideWhenUsed/>
    <w:rsid w:val="007156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3834</Words>
  <Characters>21857</Characters>
  <Application>Microsoft Office Word</Application>
  <DocSecurity>0</DocSecurity>
  <Lines>182</Lines>
  <Paragraphs>51</Paragraphs>
  <ScaleCrop>false</ScaleCrop>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Kefan Chen</dc:creator>
  <cp:keywords/>
  <dc:description/>
  <cp:lastModifiedBy>Kefan Chen</cp:lastModifiedBy>
  <cp:revision>115</cp:revision>
  <dcterms:created xsi:type="dcterms:W3CDTF">2025-10-02T05:50:00Z</dcterms:created>
  <dcterms:modified xsi:type="dcterms:W3CDTF">2025-10-07T15:38:00Z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id="jzAvIsCQ"/&gt;&lt;style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