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FormulationHeading"/>
      </w:pPr>
      <w:r>
        <w:t xml:space="preserve">Lighting power formulation</w:t>
      </w:r>
    </w:p>
    <w:p>
      <w:r>
        <w:t xml:space="preserve">The control vector specified discrete output levels for three ceiling-light zones and 24 task lights. Task lights at unoccupied workstations remained off. Each task-light level added 1.5 W, and each ceiling-zone level added 13.2 W. Total lighting power was calculated as: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7960"/>
        <w:gridCol w:w="700"/>
      </w:tblGrid>
      <w:tr>
        <w:tc>
          <w:tcPr>
            <w:tcW w:type="dxa" w:w="700"/>
            <w:tcBorders>
              <w:top w:val="none" w:color="FFFFFF" w:sz="0"/>
              <w:left w:val="none" w:color="FFFFFF" w:sz="0"/>
              <w:bottom w:val="none" w:color="FFFFFF" w:sz="0"/>
              <w:right w:val="none" w:color="FFFFFF" w:sz="0"/>
            </w:tcBorders>
          </w:tcPr>
          <w:p>
            <w:r>
              <w:t xml:space="preserve"/>
            </w:r>
          </w:p>
        </w:tc>
        <w:tc>
          <w:tcPr>
            <w:tcW w:type="dxa" w:w="7960"/>
            <w:tcBorders>
              <w:top w:val="none" w:color="FFFFFF" w:sz="0"/>
              <w:left w:val="none" w:color="FFFFFF" w:sz="0"/>
              <w:bottom w:val="none" w:color="FFFFFF" w:sz="0"/>
              <w:right w:val="none" w:color="FFFFFF" w:sz="0"/>
            </w:tcBorders>
          </w:tcPr>
          <w:p>
            <w:pPr>
              <w:jc w:val="center"/>
            </w:pPr>
            <m:oMath>
              <m:r>
                <m:t>P = 13.2 </m:t>
              </m:r>
              <m:sSubSup>
                <m:sSubSupPr/>
                <m:e>
                  <m:r>
                    <m:t>∑</m:t>
                  </m:r>
                </m:e>
                <m:sub>
                  <m:r>
                    <m:t>j=1</m:t>
                  </m:r>
                </m:sub>
                <m:sup>
                  <m:r>
                    <m:t>3</m:t>
                  </m:r>
                </m:sup>
              </m:sSubSup>
              <m:sSub>
                <m:sSubPr/>
                <m:e>
                  <m:r>
                    <m:t>L</m:t>
                  </m:r>
                </m:e>
                <m:sub>
                  <m:r>
                    <m:t>c,j</m:t>
                  </m:r>
                </m:sub>
              </m:sSub>
              <m:r>
                <m:t> + 1.5 </m:t>
              </m:r>
              <m:sSubSup>
                <m:sSubSupPr/>
                <m:e>
                  <m:r>
                    <m:t>∑</m:t>
                  </m:r>
                </m:e>
                <m:sub>
                  <m:r>
                    <m:t>i=1</m:t>
                  </m:r>
                </m:sub>
                <m:sup>
                  <m:r>
                    <m:t>24</m:t>
                  </m:r>
                </m:sup>
              </m:sSubSup>
              <m:sSub>
                <m:sSubPr/>
                <m:e>
                  <m:r>
                    <m:t>L</m:t>
                  </m:r>
                </m:e>
                <m:sub>
                  <m:r>
                    <m:t>t,i</m:t>
                  </m:r>
                </m:sub>
              </m:sSub>
              <m:r>
                <m:t>.</m:t>
              </m:r>
            </m:oMath>
          </w:p>
        </w:tc>
        <w:tc>
          <w:tcPr>
            <w:tcW w:type="dxa" w:w="7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0"/>
                <w:szCs w:val="20"/>
              </w:rPr>
              <w:t xml:space="preserve">(1)</w:t>
            </w:r>
          </w:p>
        </w:tc>
      </w:tr>
    </w:tbl>
    <w:p>
      <w:pPr>
        <w:spacing w:after="120" w:before="120"/>
      </w:pPr>
      <w:r>
        <w:t xml:space="preserve">Here, </w:t>
      </w:r>
      <w:r>
        <w:rPr>
          <w:i/>
          <w:iCs/>
        </w:rPr>
        <w:t xml:space="preserve">P</w:t>
      </w:r>
      <w:r>
        <w:t xml:space="preserve"> is the total lighting power in watts; </w:t>
      </w:r>
      <w:r>
        <w:rPr>
          <w:i/>
          <w:iCs/>
        </w:rPr>
        <w:t xml:space="preserve">L</w:t>
      </w:r>
      <w:r>
        <w:rPr>
          <w:vertAlign w:val="subscript"/>
        </w:rPr>
        <w:t xml:space="preserve">c,j</w:t>
      </w:r>
      <w:r>
        <w:t xml:space="preserve"> is the discrete output level of ceiling-light zone </w:t>
      </w:r>
      <w:r>
        <w:rPr>
          <w:i/>
          <w:iCs/>
        </w:rPr>
        <w:t xml:space="preserve">j</w:t>
      </w:r>
      <w:r>
        <w:t xml:space="preserve">; and </w:t>
      </w:r>
      <w:r>
        <w:rPr>
          <w:i/>
          <w:iCs/>
        </w:rPr>
        <w:t xml:space="preserve">L</w:t>
      </w:r>
      <w:r>
        <w:rPr>
          <w:vertAlign w:val="subscript"/>
        </w:rPr>
        <w:t xml:space="preserve">t,i</w:t>
      </w:r>
      <w:r>
        <w:t xml:space="preserve"> is the discrete output level of task light </w:t>
      </w:r>
      <w:r>
        <w:rPr>
          <w:i/>
          <w:iCs/>
        </w:rPr>
        <w:t xml:space="preserve">i</w:t>
      </w:r>
      <w:r>
        <w:t xml:space="preserve">. The indices </w:t>
      </w:r>
      <w:r>
        <w:rPr>
          <w:i/>
          <w:iCs/>
        </w:rPr>
        <w:t xml:space="preserve">j</w:t>
      </w:r>
      <w:r>
        <w:t xml:space="preserve"> = 1, ..., 3 and </w:t>
      </w:r>
      <w:r>
        <w:rPr>
          <w:i/>
          <w:iCs/>
        </w:rPr>
        <w:t xml:space="preserve">i</w:t>
      </w:r>
      <w:r>
        <w:t xml:space="preserve"> = 1, ..., 24 represent the three ceiling-light zones and 24 workstations, respectively. For an unoccupied workstation, </w:t>
      </w:r>
      <w:r>
        <w:rPr>
          <w:i/>
          <w:iCs/>
        </w:rPr>
        <w:t xml:space="preserve">L</w:t>
      </w:r>
      <w:r>
        <w:rPr>
          <w:vertAlign w:val="subscript"/>
        </w:rPr>
        <w:t xml:space="preserve">t,i</w:t>
      </w:r>
      <w:r>
        <w:t xml:space="preserve"> = 0.</w:t>
      </w:r>
    </w:p>
    <w:p>
      <w:r>
        <w:rPr>
          <w:b/>
          <w:bCs/>
          <w:color w:val="C00000"/>
        </w:rPr>
        <w:t xml:space="preserve">AUTHOR INPUT: Add the allowable discrete ranges for the ceiling-light and task-light levels.</w:t>
      </w:r>
    </w:p>
    <w:p>
      <w:pPr>
        <w:pStyle w:val="FormulationHeading"/>
      </w:pPr>
      <w:r>
        <w:t xml:space="preserve">Penalty-based objective formulation</w:t>
      </w:r>
    </w:p>
    <w:p>
      <w:r>
        <w:t xml:space="preserve">The GA minimized a scalar fitness function combining total lighting power with quadratic penalties for unmet illuminance and uniformity requirements. For each performance metric, the normalized shortfall was calculated as: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7960"/>
        <w:gridCol w:w="700"/>
      </w:tblGrid>
      <w:tr>
        <w:tc>
          <w:tcPr>
            <w:tcW w:type="dxa" w:w="700"/>
            <w:tcBorders>
              <w:top w:val="none" w:color="FFFFFF" w:sz="0"/>
              <w:left w:val="none" w:color="FFFFFF" w:sz="0"/>
              <w:bottom w:val="none" w:color="FFFFFF" w:sz="0"/>
              <w:right w:val="none" w:color="FFFFFF" w:sz="0"/>
            </w:tcBorders>
          </w:tcPr>
          <w:p>
            <w:r>
              <w:t xml:space="preserve"/>
            </w:r>
          </w:p>
        </w:tc>
        <w:tc>
          <w:tcPr>
            <w:tcW w:type="dxa" w:w="7960"/>
            <w:tcBorders>
              <w:top w:val="none" w:color="FFFFFF" w:sz="0"/>
              <w:left w:val="none" w:color="FFFFFF" w:sz="0"/>
              <w:bottom w:val="none" w:color="FFFFFF" w:sz="0"/>
              <w:right w:val="none" w:color="FFFFFF" w:sz="0"/>
            </w:tcBorders>
          </w:tcPr>
          <w:p>
            <w:pPr>
              <w:jc w:val="center"/>
            </w:pPr>
            <m:oMath>
              <m:sSub>
                <m:sSubPr/>
                <m:e>
                  <m:r>
                    <m:t>v</m:t>
                  </m:r>
                </m:e>
                <m:sub>
                  <m:r>
                    <m:t>k</m:t>
                  </m:r>
                </m:sub>
              </m:sSub>
              <m:r>
                <m:t> = max(0, </m:t>
              </m:r>
              <m:f>
                <m:num>
                  <m:sSub>
                    <m:sSubPr/>
                    <m:e>
                      <m:r>
                        <m:t>r</m:t>
                      </m:r>
                    </m:e>
                    <m:sub>
                      <m:r>
                        <m:t>k</m:t>
                      </m:r>
                    </m:sub>
                  </m:sSub>
                  <m:r>
                    <m:t> − </m:t>
                  </m:r>
                  <m:sSub>
                    <m:sSubPr/>
                    <m:e>
                      <m:r>
                        <m:t>x</m:t>
                      </m:r>
                    </m:e>
                    <m:sub>
                      <m:r>
                        <m:t>k</m:t>
                      </m:r>
                    </m:sub>
                  </m:sSub>
                </m:num>
                <m:den>
                  <m:sSub>
                    <m:sSubPr/>
                    <m:e>
                      <m:r>
                        <m:t>r</m:t>
                      </m:r>
                    </m:e>
                    <m:sub>
                      <m:r>
                        <m:t>k</m:t>
                      </m:r>
                    </m:sub>
                  </m:sSub>
                </m:den>
              </m:f>
              <m:r>
                <m:t>).</m:t>
              </m:r>
            </m:oMath>
          </w:p>
        </w:tc>
        <w:tc>
          <w:tcPr>
            <w:tcW w:type="dxa" w:w="7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0"/>
                <w:szCs w:val="20"/>
              </w:rPr>
              <w:t xml:space="preserve">(2)</w:t>
            </w:r>
          </w:p>
        </w:tc>
      </w:tr>
    </w:tbl>
    <w:p>
      <w:pPr>
        <w:spacing w:after="120" w:before="120"/>
      </w:pPr>
      <w:r>
        <w:t xml:space="preserve">where </w:t>
      </w:r>
      <w:r>
        <w:rPr>
          <w:i/>
          <w:iCs/>
        </w:rPr>
        <w:t xml:space="preserve">x</w:t>
      </w:r>
      <w:r>
        <w:rPr>
          <w:vertAlign w:val="subscript"/>
        </w:rPr>
        <w:t xml:space="preserve">k</w:t>
      </w:r>
      <w:r>
        <w:t xml:space="preserve"> is the simulated value of metric </w:t>
      </w:r>
      <w:r>
        <w:rPr>
          <w:i/>
          <w:iCs/>
        </w:rPr>
        <w:t xml:space="preserve">k</w:t>
      </w:r>
      <w:r>
        <w:t xml:space="preserve">, </w:t>
      </w:r>
      <w:r>
        <w:rPr>
          <w:i/>
          <w:iCs/>
        </w:rPr>
        <w:t xml:space="preserve">r</w:t>
      </w:r>
      <w:r>
        <w:rPr>
          <w:vertAlign w:val="subscript"/>
        </w:rPr>
        <w:t xml:space="preserve">k</w:t>
      </w:r>
      <w:r>
        <w:t xml:space="preserve"> is its required threshold, and </w:t>
      </w:r>
      <w:r>
        <w:rPr>
          <w:i/>
          <w:iCs/>
        </w:rPr>
        <w:t xml:space="preserve">v</w:t>
      </w:r>
      <w:r>
        <w:rPr>
          <w:vertAlign w:val="subscript"/>
        </w:rPr>
        <w:t xml:space="preserve">k</w:t>
      </w:r>
      <w:r>
        <w:t xml:space="preserve"> is the normalized shortfall. A requirement that was satisfied produced </w:t>
      </w:r>
      <w:r>
        <w:rPr>
          <w:i/>
          <w:iCs/>
        </w:rPr>
        <w:t xml:space="preserve">v</w:t>
      </w:r>
      <w:r>
        <w:rPr>
          <w:vertAlign w:val="subscript"/>
        </w:rPr>
        <w:t xml:space="preserve">k</w:t>
      </w:r>
      <w:r>
        <w:t xml:space="preserve"> = 0; otherwise, the shortfall increased with the relative deficit.</w:t>
      </w:r>
    </w:p>
    <w:p>
      <w:r>
        <w:t xml:space="preserve">The required thresholds were 750 lx for E1, 500 lx for E0, 0.70 for U1, and 0.50 for U2. Using a quadratic penalty exponent and a power-dependent scaling factor s = max(1, P), the fitness was: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0"/>
        <w:gridCol w:w="7960"/>
        <w:gridCol w:w="700"/>
      </w:tblGrid>
      <w:tr>
        <w:tc>
          <w:tcPr>
            <w:tcW w:type="dxa" w:w="700"/>
            <w:tcBorders>
              <w:top w:val="none" w:color="FFFFFF" w:sz="0"/>
              <w:left w:val="none" w:color="FFFFFF" w:sz="0"/>
              <w:bottom w:val="none" w:color="FFFFFF" w:sz="0"/>
              <w:right w:val="none" w:color="FFFFFF" w:sz="0"/>
            </w:tcBorders>
          </w:tcPr>
          <w:p>
            <w:r>
              <w:t xml:space="preserve"/>
            </w:r>
          </w:p>
        </w:tc>
        <w:tc>
          <w:tcPr>
            <w:tcW w:type="dxa" w:w="7960"/>
            <w:tcBorders>
              <w:top w:val="none" w:color="FFFFFF" w:sz="0"/>
              <w:left w:val="none" w:color="FFFFFF" w:sz="0"/>
              <w:bottom w:val="none" w:color="FFFFFF" w:sz="0"/>
              <w:right w:val="none" w:color="FFFFFF" w:sz="0"/>
            </w:tcBorders>
          </w:tcPr>
          <w:p>
            <w:pPr>
              <w:jc w:val="center"/>
            </w:pPr>
            <m:oMath>
              <m:r>
                <m:t>F = P + s[200</m:t>
              </m:r>
              <m:sSup>
                <m:sSupPr/>
                <m:e>
                  <m:sSub>
                    <m:sSubPr/>
                    <m:e>
                      <m:r>
                        <m:t>v</m:t>
                      </m:r>
                    </m:e>
                    <m:sub>
                      <m:r>
                        <m:t>E1</m:t>
                      </m:r>
                    </m:sub>
                  </m:sSub>
                </m:e>
                <m:sup>
                  <m:r>
                    <m:t>2</m:t>
                  </m:r>
                </m:sup>
              </m:sSup>
              <m:r>
                <m:t> + 150</m:t>
              </m:r>
              <m:sSup>
                <m:sSupPr/>
                <m:e>
                  <m:sSub>
                    <m:sSubPr/>
                    <m:e>
                      <m:r>
                        <m:t>v</m:t>
                      </m:r>
                    </m:e>
                    <m:sub>
                      <m:r>
                        <m:t>E0</m:t>
                      </m:r>
                    </m:sub>
                  </m:sSub>
                </m:e>
                <m:sup>
                  <m:r>
                    <m:t>2</m:t>
                  </m:r>
                </m:sup>
              </m:sSup>
              <m:r>
                <m:t> + 200</m:t>
              </m:r>
              <m:sSup>
                <m:sSupPr/>
                <m:e>
                  <m:sSub>
                    <m:sSubPr/>
                    <m:e>
                      <m:r>
                        <m:t>v</m:t>
                      </m:r>
                    </m:e>
                    <m:sub>
                      <m:r>
                        <m:t>U1</m:t>
                      </m:r>
                    </m:sub>
                  </m:sSub>
                </m:e>
                <m:sup>
                  <m:r>
                    <m:t>2</m:t>
                  </m:r>
                </m:sup>
              </m:sSup>
              <m:r>
                <m:t> + 150</m:t>
              </m:r>
              <m:sSup>
                <m:sSupPr/>
                <m:e>
                  <m:sSub>
                    <m:sSubPr/>
                    <m:e>
                      <m:r>
                        <m:t>v</m:t>
                      </m:r>
                    </m:e>
                    <m:sub>
                      <m:r>
                        <m:t>U2</m:t>
                      </m:r>
                    </m:sub>
                  </m:sSub>
                </m:e>
                <m:sup>
                  <m:r>
                    <m:t>2</m:t>
                  </m:r>
                </m:sup>
              </m:sSup>
              <m:r>
                <m:t>].</m:t>
              </m:r>
            </m:oMath>
          </w:p>
        </w:tc>
        <w:tc>
          <w:tcPr>
            <w:tcW w:type="dxa" w:w="7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0"/>
                <w:szCs w:val="20"/>
              </w:rPr>
              <w:t xml:space="preserve">(3)</w:t>
            </w:r>
          </w:p>
        </w:tc>
      </w:tr>
    </w:tbl>
    <w:p>
      <w:pPr>
        <w:spacing w:after="120" w:before="120"/>
      </w:pPr>
      <w:r>
        <w:t xml:space="preserve">Here, </w:t>
      </w:r>
      <w:r>
        <w:rPr>
          <w:i/>
          <w:iCs/>
        </w:rPr>
        <w:t xml:space="preserve">F</w:t>
      </w:r>
      <w:r>
        <w:t xml:space="preserve"> is the scalar fitness minimized by Galapagos, </w:t>
      </w:r>
      <w:r>
        <w:rPr>
          <w:i/>
          <w:iCs/>
        </w:rPr>
        <w:t xml:space="preserve">P</w:t>
      </w:r>
      <w:r>
        <w:t xml:space="preserve"> is the total lighting power, and </w:t>
      </w:r>
      <w:r>
        <w:rPr>
          <w:i/>
          <w:iCs/>
        </w:rPr>
        <w:t xml:space="preserve">s</w:t>
      </w:r>
      <w:r>
        <w:t xml:space="preserve"> scales the penalty weights relative to the power magnitude. A configuration was feasible when all four requirements were satisfied. For feasible configurations, all penalty terms were zero and the fitness equalled total lighting power. Infeasible configurations received quadratic penalties that increased with the magnitude of each normalized violation.</w:t>
      </w:r>
    </w:p>
    <w:p>
      <w:r>
        <w:rPr>
          <w:b/>
          <w:bCs/>
          <w:color w:val="C00000"/>
        </w:rPr>
        <w:t xml:space="preserve">AUTHOR CHECK: The supplied code uses illuminance thresholds of 750 and 500 lx, although its comments state 500 and 300 lx. It also contains illu0 = num(illu2); verify whether this should be illu0 = num(illu0), and confirm which version generated the reported results.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after="12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rmulationHeading">
    <w:name w:val="Formulation Heading"/>
    <w:basedOn w:val="Normal"/>
    <w:next w:val="Normal"/>
    <w:qFormat/>
    <w:pPr>
      <w:spacing w:after="120" w:before="0"/>
      <w:outlineLvl w:val="0"/>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2026-08-14T11:00:23.519Z</dcterms:created>
  <dcterms:modified xsi:type="dcterms:W3CDTF">2026-08-14T11:00:23.520Z</dcterms:modified>
</cp:coreProperties>
</file>

<file path=docProps/custom.xml><?xml version="1.0" encoding="utf-8"?>
<Properties xmlns="http://schemas.openxmlformats.org/officeDocument/2006/custom-properties" xmlns:vt="http://schemas.openxmlformats.org/officeDocument/2006/docPropsVTypes"/>
</file>