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60" w:before="0"/>
      </w:pPr>
      <w:r>
        <w:rPr>
          <w:b/>
          <w:color w:val="367DB1"/>
          <w:sz w:val="36"/>
        </w:rPr>
        <w:t>PET Writing Review Handout</w:t>
      </w:r>
    </w:p>
    <w:p>
      <w:pPr>
        <w:keepNext w:val="0"/>
        <w:spacing w:after="120" w:before="0"/>
      </w:pPr>
      <w:r>
        <w:rPr>
          <w:b/>
          <w:sz w:val="24"/>
        </w:rPr>
        <w:t>Article: Education in the future</w:t>
      </w:r>
    </w:p>
    <w:p>
      <w:pPr>
        <w:keepNext w:val="0"/>
        <w:spacing w:after="140" w:before="0"/>
      </w:pPr>
      <w:r>
        <w:rPr>
          <w:b w:val="0"/>
          <w:color w:val="5A6978"/>
          <w:sz w:val="21"/>
        </w:rPr>
        <w:t>课后复习｜学习方式的预测 → 具体情境 → 科目判断与理由。</w:t>
      </w:r>
    </w:p>
    <w:p>
      <w:pPr>
        <w:keepNext/>
        <w:spacing w:after="120" w:before="160"/>
      </w:pPr>
      <w:r>
        <w:rPr>
          <w:b/>
          <w:color w:val="367DB1"/>
          <w:sz w:val="24"/>
        </w:rPr>
        <w:t>1  审题：这篇文章必须回答什么？</w:t>
      </w:r>
    </w:p>
    <w:p>
      <w:pPr>
        <w:keepNext w:val="0"/>
        <w:spacing w:after="120" w:before="0"/>
      </w:pPr>
      <w:r>
        <w:rPr>
          <w:b w:val="0"/>
        </w:rPr>
        <w:t>面向年轻人的英语杂志征集文章。写约100词，预测未来教育，同时回应学习方式和学习内容。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5216"/>
      </w:tblGrid>
      <w:tr>
        <w:trPr>
          <w:cantSplit/>
          <w:tblHeader/>
        </w:trPr>
        <w:tc>
          <w:tcPr>
            <w:tcW w:type="dxa" w:w="4876"/>
            <w:vAlign w:val="center"/>
            <w:shd w:fill="367DB1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/>
                <w:color w:val="FFFFFF"/>
                <w:sz w:val="20"/>
              </w:rPr>
              <w:t>题目要求</w:t>
            </w:r>
          </w:p>
        </w:tc>
        <w:tc>
          <w:tcPr>
            <w:tcW w:type="dxa" w:w="5216"/>
            <w:vAlign w:val="center"/>
            <w:shd w:fill="367DB1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/>
                <w:color w:val="FFFFFF"/>
                <w:sz w:val="20"/>
              </w:rPr>
              <w:t>复习要点</w:t>
            </w:r>
          </w:p>
        </w:tc>
      </w:tr>
      <w:tr>
        <w:trPr>
          <w:cantSplit/>
        </w:trPr>
        <w:tc>
          <w:tcPr>
            <w:tcW w:type="dxa" w:w="4876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How different will education be in the future?</w:t>
              <w:br/>
              <w:t>At school or online at home?</w:t>
            </w:r>
          </w:p>
        </w:tc>
        <w:tc>
          <w:tcPr>
            <w:tcW w:type="dxa" w:w="5216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预测在哪里、怎样学习。可选择在校为主、在线为主，或两者结合；补充具体学习情境。</w:t>
            </w:r>
          </w:p>
        </w:tc>
      </w:tr>
      <w:tr>
        <w:trPr>
          <w:cantSplit/>
        </w:trPr>
        <w:tc>
          <w:tcPr>
            <w:tcW w:type="dxa" w:w="4876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Will students study the same subjects as they do now? Why?</w:t>
            </w:r>
          </w:p>
        </w:tc>
        <w:tc>
          <w:tcPr>
            <w:tcW w:type="dxa" w:w="5216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明确科目基本保留、发生变化，或部分保留部分变化，并解释原因。不能只列出科目名称。</w:t>
            </w: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p>
      <w:pPr>
        <w:keepNext/>
        <w:spacing w:after="120" w:before="160"/>
      </w:pPr>
      <w:r>
        <w:rPr>
          <w:b/>
          <w:color w:val="367DB1"/>
          <w:sz w:val="24"/>
        </w:rPr>
        <w:t>2  内容构思：预测必须有具体支持</w:t>
      </w:r>
    </w:p>
    <w:p>
      <w:pPr>
        <w:keepNext w:val="0"/>
        <w:spacing w:after="100" w:before="0"/>
      </w:pPr>
      <w:r>
        <w:rPr>
          <w:b w:val="0"/>
        </w:rPr>
        <w:t>从学习任务和未来需要出发，选择最能支持判断的细节。下面是可选思路，不是统一答案。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3402"/>
        <w:gridCol w:w="5216"/>
      </w:tblGrid>
      <w:tr>
        <w:trPr>
          <w:cantSplit/>
          <w:tblHeader/>
        </w:trPr>
        <w:tc>
          <w:tcPr>
            <w:tcW w:type="dxa" w:w="1474"/>
            <w:vAlign w:val="center"/>
            <w:shd w:fill="367DB1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/>
                <w:color w:val="FFFFFF"/>
                <w:sz w:val="20"/>
              </w:rPr>
              <w:t>角度</w:t>
            </w:r>
          </w:p>
        </w:tc>
        <w:tc>
          <w:tcPr>
            <w:tcW w:type="dxa" w:w="3402"/>
            <w:vAlign w:val="center"/>
            <w:shd w:fill="367DB1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/>
                <w:color w:val="FFFFFF"/>
                <w:sz w:val="20"/>
              </w:rPr>
              <w:t>可以作出的判断</w:t>
            </w:r>
          </w:p>
        </w:tc>
        <w:tc>
          <w:tcPr>
            <w:tcW w:type="dxa" w:w="5216"/>
            <w:vAlign w:val="center"/>
            <w:shd w:fill="367DB1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/>
                <w:color w:val="FFFFFF"/>
                <w:sz w:val="20"/>
              </w:rPr>
              <w:t>怎样支持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学习方式</w:t>
            </w:r>
          </w:p>
        </w:tc>
        <w:tc>
          <w:tcPr>
            <w:tcW w:type="dxa" w:w="3402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Some lessons may be online.</w:t>
            </w:r>
          </w:p>
        </w:tc>
        <w:tc>
          <w:tcPr>
            <w:tcW w:type="dxa" w:w="5216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Students can watch difficult explanations again at home.</w:t>
              <w:br/>
              <w:t>可回看讲解是一个具体用途。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学校的作用</w:t>
            </w:r>
          </w:p>
        </w:tc>
        <w:tc>
          <w:tcPr>
            <w:tcW w:type="dxa" w:w="3402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Students will still go to school.</w:t>
            </w:r>
          </w:p>
        </w:tc>
        <w:tc>
          <w:tcPr>
            <w:tcW w:type="dxa" w:w="5216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They can do science experiments together.</w:t>
              <w:br/>
              <w:t>说明哪些活动适合在校开展。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科目保留</w:t>
            </w:r>
          </w:p>
        </w:tc>
        <w:tc>
          <w:tcPr>
            <w:tcW w:type="dxa" w:w="3402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Maths and English will still matter.</w:t>
            </w:r>
          </w:p>
        </w:tc>
        <w:tc>
          <w:tcPr>
            <w:tcW w:type="dxa" w:w="5216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We need numbers in daily life and language to communicate.</w:t>
              <w:br/>
              <w:t>用日常需要解释科目的价值。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内容变化</w:t>
            </w:r>
          </w:p>
        </w:tc>
        <w:tc>
          <w:tcPr>
            <w:tcW w:type="dxa" w:w="3402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We may learn more computer skills.</w:t>
            </w:r>
          </w:p>
        </w:tc>
        <w:tc>
          <w:tcPr>
            <w:tcW w:type="dxa" w:w="5216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Learning to write simple programs could help us prepare for future jobs.</w:t>
              <w:br/>
              <w:t>用未来工作需要解释变化，再具体举例。</w:t>
            </w: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p>
      <w:pPr>
        <w:keepNext w:val="0"/>
        <w:spacing w:after="80" w:before="0"/>
      </w:pPr>
      <w:r>
        <w:rPr>
          <w:b/>
          <w:color w:val="367DB1"/>
          <w:sz w:val="21"/>
        </w:rPr>
        <w:t>预测表达</w:t>
      </w:r>
    </w:p>
    <w:p>
      <w:pPr>
        <w:keepNext w:val="0"/>
        <w:spacing w:after="100" w:before="0"/>
      </w:pPr>
      <w:r>
        <w:rPr>
          <w:b w:val="0"/>
        </w:rPr>
        <w:t>I think students will still study maths because they use numbers every day.</w:t>
        <w:br/>
        <w:t>We may learn more computer skills to prepare for future jobs.</w:t>
      </w:r>
    </w:p>
    <w:p>
      <w:pPr>
        <w:keepNext w:val="0"/>
        <w:spacing w:after="0" w:before="0"/>
      </w:pPr>
      <w:r>
        <w:rPr>
          <w:b w:val="0"/>
          <w:color w:val="30776D"/>
          <w:sz w:val="20"/>
        </w:rPr>
        <w:t>复习提醒：will / may / might 后接动词原形。计算机技能可能是现有课程增加内容，不必说成全新科目；未来预测要用合理情境支持。</w:t>
      </w:r>
    </w:p>
    <w:p>
      <w:r>
        <w:br w:type="page"/>
      </w:r>
    </w:p>
    <w:p>
      <w:pPr>
        <w:keepNext/>
        <w:spacing w:after="120" w:before="160"/>
      </w:pPr>
      <w:r>
        <w:rPr>
          <w:b/>
          <w:color w:val="367DB1"/>
          <w:sz w:val="24"/>
        </w:rPr>
        <w:t>3  相关词汇与搭配：本篇马上用得上的表达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4989"/>
      </w:tblGrid>
      <w:tr>
        <w:trPr>
          <w:cantSplit/>
          <w:tblHeader/>
        </w:trPr>
        <w:tc>
          <w:tcPr>
            <w:tcW w:type="dxa" w:w="5102"/>
            <w:vAlign w:val="center"/>
            <w:shd w:fill="367DB1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/>
                <w:color w:val="FFFFFF"/>
                <w:sz w:val="20"/>
              </w:rPr>
              <w:t>表达</w:t>
            </w:r>
          </w:p>
        </w:tc>
        <w:tc>
          <w:tcPr>
            <w:tcW w:type="dxa" w:w="4989"/>
            <w:vAlign w:val="center"/>
            <w:shd w:fill="367DB1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/>
                <w:color w:val="FFFFFF"/>
                <w:sz w:val="20"/>
              </w:rPr>
              <w:t>中文与用法</w:t>
            </w:r>
          </w:p>
        </w:tc>
      </w:tr>
      <w:tr>
        <w:trPr>
          <w:cantSplit/>
        </w:trPr>
        <w:tc>
          <w:tcPr>
            <w:tcW w:type="dxa" w:w="5102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have / take online lessons</w:t>
            </w:r>
          </w:p>
        </w:tc>
        <w:tc>
          <w:tcPr>
            <w:tcW w:type="dxa" w:w="4989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上网课；题干中的 do online lessons 也可以。</w:t>
            </w:r>
          </w:p>
        </w:tc>
      </w:tr>
      <w:tr>
        <w:trPr>
          <w:cantSplit/>
        </w:trPr>
        <w:tc>
          <w:tcPr>
            <w:tcW w:type="dxa" w:w="5102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study at school / learn at home</w:t>
            </w:r>
          </w:p>
        </w:tc>
        <w:tc>
          <w:tcPr>
            <w:tcW w:type="dxa" w:w="4989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在学校学习／在家学习</w:t>
            </w:r>
          </w:p>
        </w:tc>
      </w:tr>
      <w:tr>
        <w:trPr>
          <w:cantSplit/>
        </w:trPr>
        <w:tc>
          <w:tcPr>
            <w:tcW w:type="dxa" w:w="5102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discuss ideas face to face</w:t>
            </w:r>
          </w:p>
        </w:tc>
        <w:tc>
          <w:tcPr>
            <w:tcW w:type="dxa" w:w="4989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面对面讨论想法</w:t>
            </w:r>
          </w:p>
        </w:tc>
      </w:tr>
      <w:tr>
        <w:trPr>
          <w:cantSplit/>
        </w:trPr>
        <w:tc>
          <w:tcPr>
            <w:tcW w:type="dxa" w:w="5102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do science experiments / practical lessons</w:t>
            </w:r>
          </w:p>
        </w:tc>
        <w:tc>
          <w:tcPr>
            <w:tcW w:type="dxa" w:w="4989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做科学实验／实践课</w:t>
            </w:r>
          </w:p>
        </w:tc>
      </w:tr>
      <w:tr>
        <w:trPr>
          <w:cantSplit/>
        </w:trPr>
        <w:tc>
          <w:tcPr>
            <w:tcW w:type="dxa" w:w="5102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study the same subjects / maths and English</w:t>
            </w:r>
          </w:p>
        </w:tc>
        <w:tc>
          <w:tcPr>
            <w:tcW w:type="dxa" w:w="4989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学习相同的科目／数学和英语</w:t>
            </w:r>
          </w:p>
        </w:tc>
      </w:tr>
      <w:tr>
        <w:trPr>
          <w:cantSplit/>
        </w:trPr>
        <w:tc>
          <w:tcPr>
            <w:tcW w:type="dxa" w:w="5102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learn computer skills / write simple programs</w:t>
            </w:r>
          </w:p>
        </w:tc>
        <w:tc>
          <w:tcPr>
            <w:tcW w:type="dxa" w:w="4989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学习计算机技能／编写简单程序</w:t>
            </w:r>
          </w:p>
        </w:tc>
      </w:tr>
      <w:tr>
        <w:trPr>
          <w:cantSplit/>
        </w:trPr>
        <w:tc>
          <w:tcPr>
            <w:tcW w:type="dxa" w:w="5102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solve everyday problems / communicate</w:t>
            </w:r>
          </w:p>
        </w:tc>
        <w:tc>
          <w:tcPr>
            <w:tcW w:type="dxa" w:w="4989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解决日常问题／交流</w:t>
            </w:r>
          </w:p>
        </w:tc>
      </w:tr>
      <w:tr>
        <w:trPr>
          <w:cantSplit/>
        </w:trPr>
        <w:tc>
          <w:tcPr>
            <w:tcW w:type="dxa" w:w="5102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prepare for future jobs</w:t>
            </w:r>
          </w:p>
        </w:tc>
        <w:tc>
          <w:tcPr>
            <w:tcW w:type="dxa" w:w="4989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为未来的工作作准备</w:t>
            </w: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p>
      <w:pPr>
        <w:keepNext/>
        <w:spacing w:after="120" w:before="160"/>
      </w:pPr>
      <w:r>
        <w:rPr>
          <w:b/>
          <w:color w:val="367DB1"/>
          <w:sz w:val="24"/>
        </w:rPr>
        <w:t>4  连接词及用法：组织预测、理由和例子</w:t>
      </w:r>
    </w:p>
    <w:p>
      <w:pPr>
        <w:keepNext w:val="0"/>
        <w:spacing w:after="120" w:before="0"/>
      </w:pPr>
      <w:r>
        <w:rPr>
          <w:b w:val="0"/>
        </w:rPr>
        <w:t>按意思选择，不必每个都使用；for example 与 for instance 在完整举例句中可以互换。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3855"/>
        <w:gridCol w:w="5329"/>
      </w:tblGrid>
      <w:tr>
        <w:trPr>
          <w:cantSplit/>
          <w:tblHeader/>
        </w:trPr>
        <w:tc>
          <w:tcPr>
            <w:tcW w:type="dxa" w:w="907"/>
            <w:vAlign w:val="center"/>
            <w:shd w:fill="367DB1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/>
                <w:color w:val="FFFFFF"/>
                <w:sz w:val="20"/>
              </w:rPr>
              <w:t>目的</w:t>
            </w:r>
          </w:p>
        </w:tc>
        <w:tc>
          <w:tcPr>
            <w:tcW w:type="dxa" w:w="3855"/>
            <w:vAlign w:val="center"/>
            <w:shd w:fill="367DB1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/>
                <w:color w:val="FFFFFF"/>
                <w:sz w:val="20"/>
              </w:rPr>
              <w:t>连接词与用法</w:t>
            </w:r>
          </w:p>
        </w:tc>
        <w:tc>
          <w:tcPr>
            <w:tcW w:type="dxa" w:w="5329"/>
            <w:vAlign w:val="center"/>
            <w:shd w:fill="367DB1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/>
                <w:color w:val="FFFFFF"/>
                <w:sz w:val="20"/>
              </w:rPr>
              <w:t>本题例句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原因</w:t>
            </w:r>
          </w:p>
        </w:tc>
        <w:tc>
          <w:tcPr>
            <w:tcW w:type="dxa" w:w="3855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because + 原因分句</w:t>
            </w:r>
          </w:p>
        </w:tc>
        <w:tc>
          <w:tcPr>
            <w:tcW w:type="dxa" w:w="5329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Maths will matter because we use numbers every day.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举例</w:t>
            </w:r>
          </w:p>
        </w:tc>
        <w:tc>
          <w:tcPr>
            <w:tcW w:type="dxa" w:w="3855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For example, / For instance,</w:t>
              <w:br/>
              <w:t>可引出完整例句</w:t>
            </w:r>
          </w:p>
        </w:tc>
        <w:tc>
          <w:tcPr>
            <w:tcW w:type="dxa" w:w="5329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For example, students may watch a maths video at home.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转折</w:t>
            </w:r>
          </w:p>
        </w:tc>
        <w:tc>
          <w:tcPr>
            <w:tcW w:type="dxa" w:w="3855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However, 常另起一句</w:t>
            </w:r>
          </w:p>
        </w:tc>
        <w:tc>
          <w:tcPr>
            <w:tcW w:type="dxa" w:w="5329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Some lessons may be online. However, schools will still matter.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补充</w:t>
            </w:r>
          </w:p>
        </w:tc>
        <w:tc>
          <w:tcPr>
            <w:tcW w:type="dxa" w:w="3855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also 常在情态动词后、实义动词前</w:t>
            </w:r>
          </w:p>
        </w:tc>
        <w:tc>
          <w:tcPr>
            <w:tcW w:type="dxa" w:w="5329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Students may also learn more computer skills.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列举</w:t>
            </w:r>
          </w:p>
        </w:tc>
        <w:tc>
          <w:tcPr>
            <w:tcW w:type="dxa" w:w="3855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such as + 名词或名词短语</w:t>
            </w:r>
          </w:p>
        </w:tc>
        <w:tc>
          <w:tcPr>
            <w:tcW w:type="dxa" w:w="5329"/>
            <w:vAlign w:val="center"/>
            <w:shd w:fill="EEF5FB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Schools can offer practical work, such as science experiments.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结果</w:t>
            </w:r>
          </w:p>
        </w:tc>
        <w:tc>
          <w:tcPr>
            <w:tcW w:type="dxa" w:w="3855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原因分句, so + 结果分句</w:t>
            </w:r>
          </w:p>
        </w:tc>
        <w:tc>
          <w:tcPr>
            <w:tcW w:type="dxa" w:w="5329"/>
            <w:vAlign w:val="center"/>
            <w:shd w:fill="FFFFFF"/>
            <w:tcMar>
              <w:top w:w="45" w:type="dxa"/>
              <w:left w:w="100" w:type="dxa"/>
              <w:bottom w:w="4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Some lessons may be online, so we can watch explanations again.</w:t>
            </w: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p>
      <w:pPr>
        <w:keepNext w:val="0"/>
        <w:spacing w:after="80" w:before="0"/>
      </w:pPr>
      <w:r>
        <w:rPr>
          <w:b/>
          <w:color w:val="367DB1"/>
          <w:sz w:val="21"/>
        </w:rPr>
        <w:t>用法提醒</w:t>
      </w:r>
    </w:p>
    <w:p>
      <w:pPr>
        <w:keepNext w:val="0"/>
        <w:spacing w:after="0" w:before="0"/>
      </w:pPr>
      <w:r>
        <w:rPr>
          <w:b w:val="0"/>
          <w:sz w:val="20"/>
        </w:rPr>
        <w:t>• such as science experiments 是名词举例；For example, students can ... 是完整例句。</w:t>
        <w:br/>
        <w:t>• However 后常加逗号，前面的完整句子用句号结束。</w:t>
        <w:br/>
        <w:t>• because 表示原因，so 表示结果；同一因果关系不要写成 because ... so ...。</w:t>
      </w:r>
    </w:p>
    <w:sectPr w:rsidR="00FC693F" w:rsidRPr="0006063C" w:rsidSect="00034616">
      <w:footerReference w:type="default" r:id="rId9"/>
      <w:pgSz w:w="11906" w:h="16838"/>
      <w:pgMar w:top="794" w:right="907" w:bottom="765" w:left="907" w:header="312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6978"/>
        <w:sz w:val="16"/>
      </w:rPr>
      <w:t xml:space="preserve">PET Article · Education in the future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YaHei" w:hAnsi="Microsoft YaHei" w:eastAsia="Microsoft YaHei" w:cs="Microsoft YaHei"/>
      <w:color w:val="20344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 w:cs="Microsoft YaHei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Microsoft YaHei" w:hAnsi="Microsoft YaHei" w:eastAsia="Microsoft YaHei" w:cs="Microsoft YaHei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 w:cs="Microsoft YaHei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Microsoft YaHei" w:hAnsi="Microsoft YaHei" w:eastAsia="Microsoft YaHei" w:cs="Microsoft YaHe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 w:cs="Microsoft YaHe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Microsoft YaHei" w:hAnsi="Microsoft YaHei" w:eastAsia="Microsoft YaHei" w:cs="Microsoft YaHe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Microsoft YaHei" w:hAnsi="Microsoft YaHei" w:eastAsia="Microsoft YaHei" w:cs="Microsoft YaHe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Microsoft YaHei" w:hAnsi="Microsoft YaHei" w:eastAsia="Microsoft YaHei" w:cs="Microsoft YaHe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Microsoft YaHei" w:hAnsi="Microsoft YaHei" w:eastAsia="Microsoft YaHei" w:cs="Microsoft YaHe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Microsoft YaHei" w:hAnsi="Microsoft YaHei" w:eastAsia="Microsoft YaHei" w:cs="Microsoft YaHei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Microsoft YaHei" w:hAnsi="Microsoft YaHei" w:eastAsia="Microsoft YaHei" w:cs="Microsoft YaHei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 w:cs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Microsoft YaHei" w:hAnsi="Microsoft YaHei" w:eastAsia="Microsoft YaHei" w:cs="Microsoft YaHe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 w:cs="Microsoft Ya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Microsoft YaHei" w:hAnsi="Microsoft YaHei" w:eastAsia="Microsoft YaHei" w:cs="Microsoft YaHe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Microsoft YaHei" w:hAnsi="Microsoft YaHei" w:eastAsia="Microsoft YaHei" w:cs="Microsoft YaHe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YaHei" w:hAnsi="Microsoft YaHei" w:eastAsia="Microsoft YaHei" w:cs="Microsoft YaHei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Microsoft YaHei" w:hAnsi="Microsoft YaHei" w:eastAsia="Microsoft YaHei" w:cs="Microsoft YaHei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Microsoft YaHei" w:hAnsi="Microsoft YaHei" w:eastAsia="Microsoft YaHei" w:cs="Microsoft YaHei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Microsoft YaHei" w:hAnsi="Microsoft YaHei" w:eastAsia="Microsoft YaHei" w:cs="Microsoft YaHei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Microsoft YaHei" w:hAnsi="Microsoft YaHei" w:eastAsia="Microsoft YaHei" w:cs="Microsoft YaHe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Microsoft YaHei" w:hAnsi="Microsoft YaHei" w:eastAsia="Microsoft YaHei" w:cs="Microsoft YaHe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Microsoft YaHei" w:hAnsi="Microsoft YaHei" w:eastAsia="Microsoft YaHei" w:cs="Microsoft YaHei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Microsoft YaHei" w:hAnsi="Microsoft YaHei" w:eastAsia="Microsoft YaHei" w:cs="Microsoft YaHei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Microsoft YaHei" w:hAnsi="Microsoft YaHei" w:eastAsia="Microsoft YaHei" w:cs="Microsoft YaHei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 w:cs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icrosoft YaHei" w:hAnsi="Microsoft YaHei" w:eastAsia="Microsoft YaHei" w:cs="Microsoft YaHe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Microsoft YaHei" w:hAnsi="Microsoft YaHei" w:eastAsia="Microsoft YaHei" w:cs="Microsoft YaHei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 w:cs="Microsoft YaHe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Microsoft YaHei" w:hAnsi="Microsoft YaHei" w:eastAsia="Microsoft YaHei" w:cs="Microsoft YaHei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Microsoft YaHei" w:hAnsi="Microsoft YaHei" w:eastAsia="Microsoft YaHei" w:cs="Microsoft YaHei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Microsoft YaHei" w:hAnsi="Microsoft YaHei" w:eastAsia="Microsoft YaHei" w:cs="Microsoft YaHei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Microsoft YaHei" w:hAnsi="Microsoft YaHei" w:eastAsia="Microsoft YaHei" w:cs="Microsoft YaHei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Microsoft YaHei" w:hAnsi="Microsoft YaHei" w:eastAsia="Microsoft YaHei" w:cs="Microsoft YaHei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Microsoft YaHei" w:hAnsi="Microsoft YaHei" w:eastAsia="Microsoft YaHei" w:cs="Microsoft YaHe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Microsoft YaHei" w:hAnsi="Microsoft YaHei" w:eastAsia="Microsoft YaHei" w:cs="Microsoft YaHe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Microsoft YaHei" w:hAnsi="Microsoft YaHei" w:eastAsia="Microsoft YaHei" w:cs="Microsoft YaHei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Microsoft YaHei" w:hAnsi="Microsoft YaHei" w:eastAsia="Microsoft YaHei" w:cs="Microsoft YaHei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 w:cs="Microsoft YaHe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 w:cs="Microsoft YaHe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 w:cs="Microsoft YaHe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 w:cs="Microsoft YaHe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 w:cs="Microsoft YaHe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YaHei" w:hAnsi="Microsoft YaHei" w:eastAsia="Microsoft YaHei" w:cs="Microsoft YaHei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Microsoft YaHei" w:hAnsi="Microsoft YaHei" w:eastAsia="Microsoft YaHei" w:cs="Microsoft YaHei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Microsoft YaHei" w:hAnsi="Microsoft YaHei" w:eastAsia="Microsoft YaHei" w:cs="Microsoft YaHe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Microsoft YaHei" w:hAnsi="Microsoft YaHei" w:eastAsia="Microsoft YaHei" w:cs="Microsoft YaHei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Microsoft YaHei" w:hAnsi="Microsoft YaHei" w:eastAsia="Microsoft YaHei" w:cs="Microsoft YaHei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Microsoft YaHei" w:hAnsi="Microsoft YaHei" w:eastAsia="Microsoft YaHei" w:cs="Microsoft YaHei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Microsoft YaHei" w:hAnsi="Microsoft YaHei" w:eastAsia="Microsoft YaHei" w:cs="Microsoft YaHei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Microsoft YaHei" w:hAnsi="Microsoft YaHei" w:eastAsia="Microsoft YaHei" w:cs="Microsoft YaHei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Microsoft YaHei" w:hAnsi="Microsoft YaHei" w:eastAsia="Microsoft YaHei" w:cs="Microsoft YaHei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Microsoft YaHei" w:hAnsi="Microsoft YaHei" w:eastAsia="Microsoft YaHei" w:cs="Microsoft YaHei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Microsoft YaHei" w:hAnsi="Microsoft YaHei" w:eastAsia="Microsoft YaHei" w:cs="Microsoft YaHei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