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after="60" w:before="0"/>
      </w:pPr>
      <w:r>
        <w:rPr>
          <w:b/>
          <w:color w:val="367DB1"/>
          <w:sz w:val="36"/>
        </w:rPr>
        <w:t>PET Writing Review Handout</w:t>
      </w:r>
    </w:p>
    <w:p>
      <w:pPr>
        <w:keepNext w:val="0"/>
        <w:spacing w:after="120" w:before="0"/>
      </w:pPr>
      <w:r>
        <w:rPr>
          <w:b/>
          <w:sz w:val="24"/>
        </w:rPr>
        <w:t>Article: A famous person</w:t>
      </w:r>
    </w:p>
    <w:p>
      <w:pPr>
        <w:keepNext w:val="0"/>
        <w:spacing w:after="140" w:before="0"/>
      </w:pPr>
      <w:r>
        <w:rPr>
          <w:b w:val="0"/>
          <w:color w:val="5A6978"/>
          <w:sz w:val="21"/>
        </w:rPr>
        <w:t>课后复习｜介绍人物 → 喜欢的原因与例子 → 生活判断与解释。</w:t>
      </w:r>
    </w:p>
    <w:p>
      <w:pPr>
        <w:keepNext/>
        <w:spacing w:after="120" w:before="160"/>
      </w:pPr>
      <w:r>
        <w:rPr>
          <w:b/>
          <w:color w:val="367DB1"/>
          <w:sz w:val="24"/>
        </w:rPr>
        <w:t>1  审题：这篇文章必须回答什么？</w:t>
      </w:r>
    </w:p>
    <w:p>
      <w:pPr>
        <w:keepNext w:val="0"/>
        <w:spacing w:after="120" w:before="0"/>
      </w:pPr>
      <w:r>
        <w:rPr>
          <w:b w:val="0"/>
        </w:rPr>
        <w:t>面向年轻人的英语网站征集文章。写约100词，始终围绕同一位你喜欢的真实名人。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876"/>
        <w:gridCol w:w="5216"/>
      </w:tblGrid>
      <w:tr>
        <w:trPr>
          <w:cantSplit/>
          <w:tblHeader/>
        </w:trPr>
        <w:tc>
          <w:tcPr>
            <w:tcW w:type="dxa" w:w="487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题目要求</w:t>
            </w:r>
          </w:p>
        </w:tc>
        <w:tc>
          <w:tcPr>
            <w:tcW w:type="dxa" w:w="5216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复习要点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Tell us about a famous person that you like.</w:t>
            </w:r>
          </w:p>
        </w:tc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写清姓名，以及此人因什么作品、活动或成就为人所知。</w:t>
              <w:br/>
              <w:t>可选演员、歌手、运动员、网络创作者等。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Why do you like this person?</w:t>
            </w:r>
          </w:p>
        </w:tc>
        <w:tc>
          <w:tcPr>
            <w:tcW w:type="dxa" w:w="5216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说明欣赏什么，再用具体作品或表现中的细节支持。</w:t>
            </w:r>
          </w:p>
        </w:tc>
      </w:tr>
      <w:tr>
        <w:trPr>
          <w:cantSplit/>
        </w:trPr>
        <w:tc>
          <w:tcPr>
            <w:tcW w:type="dxa" w:w="487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Do you think this person has an easy life? Why?</w:t>
            </w:r>
          </w:p>
        </w:tc>
        <w:tc>
          <w:tcPr>
            <w:tcW w:type="dxa" w:w="5216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明确判断生活是否轻松，并解释理由。可以认为较轻松、并不轻松或有利有弊。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2  内容构思：用细节支持两个 Why</w:t>
      </w:r>
    </w:p>
    <w:p>
      <w:pPr>
        <w:keepNext w:val="0"/>
        <w:spacing w:after="100" w:before="0"/>
      </w:pPr>
      <w:r>
        <w:rPr>
          <w:b w:val="0"/>
        </w:rPr>
        <w:t>不必写长篇生平。把有限词数用于解释喜欢的原因，以及对生活是否轻松的判断。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31"/>
        <w:gridCol w:w="3061"/>
        <w:gridCol w:w="5499"/>
      </w:tblGrid>
      <w:tr>
        <w:trPr>
          <w:cantSplit/>
          <w:tblHeader/>
        </w:trPr>
        <w:tc>
          <w:tcPr>
            <w:tcW w:type="dxa" w:w="1531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内容</w:t>
            </w:r>
          </w:p>
        </w:tc>
        <w:tc>
          <w:tcPr>
            <w:tcW w:type="dxa" w:w="3061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怎样展开</w:t>
            </w:r>
          </w:p>
        </w:tc>
        <w:tc>
          <w:tcPr>
            <w:tcW w:type="dxa" w:w="5499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本题示例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人物介绍</w:t>
            </w:r>
          </w:p>
        </w:tc>
        <w:tc>
          <w:tcPr>
            <w:tcW w:type="dxa" w:w="3061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真实名人＋简短公开作品信息。</w:t>
            </w:r>
          </w:p>
        </w:tc>
        <w:tc>
          <w:tcPr>
            <w:tcW w:type="dxa" w:w="549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Emma Watson played Hermione in the Harry Potter films.</w:t>
              <w:br/>
              <w:t>Taylor Swift is a singer and songwriter.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喜欢的原因</w:t>
            </w:r>
          </w:p>
        </w:tc>
        <w:tc>
          <w:tcPr>
            <w:tcW w:type="dxa" w:w="3061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欣赏的作品特点＋具体细节。</w:t>
            </w:r>
          </w:p>
        </w:tc>
        <w:tc>
          <w:tcPr>
            <w:tcW w:type="dxa" w:w="549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enjoy her acting. Her voice and expressions show Hermione's feelings clearly.</w:t>
            </w:r>
          </w:p>
        </w:tc>
      </w:tr>
      <w:tr>
        <w:trPr>
          <w:cantSplit/>
        </w:trPr>
        <w:tc>
          <w:tcPr>
            <w:tcW w:type="dxa" w:w="1531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生活判断</w:t>
            </w:r>
          </w:p>
        </w:tc>
        <w:tc>
          <w:tcPr>
            <w:tcW w:type="dxa" w:w="3061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判断＋工作或公众关注方面的说明。</w:t>
            </w:r>
          </w:p>
        </w:tc>
        <w:tc>
          <w:tcPr>
            <w:tcW w:type="dxa" w:w="549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Preparing for performances can take time and effort.</w:t>
              <w:br/>
              <w:t>Fame may make private time harder to protect.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展开示例</w:t>
      </w:r>
    </w:p>
    <w:p>
      <w:pPr>
        <w:keepNext w:val="0"/>
        <w:spacing w:after="100" w:before="0"/>
      </w:pPr>
      <w:r>
        <w:rPr>
          <w:b w:val="0"/>
        </w:rPr>
        <w:t>I don't think her life is always easy. Preparing for roles takes time, and fame may reduce her privacy.</w:t>
      </w:r>
    </w:p>
    <w:p>
      <w:pPr>
        <w:keepNext w:val="0"/>
        <w:spacing w:after="0" w:before="0"/>
      </w:pPr>
      <w:r>
        <w:rPr>
          <w:b w:val="0"/>
          <w:color w:val="30776D"/>
          <w:sz w:val="20"/>
        </w:rPr>
        <w:t>复习提醒：把演员与角色分清。作品中的角色可以支持观影感受，但角色的性格不等于演员的真实性格；不确定的生活影响用 can / may 表达。</w:t>
      </w:r>
    </w:p>
    <w:p>
      <w:r>
        <w:br w:type="page"/>
      </w:r>
    </w:p>
    <w:p>
      <w:pPr>
        <w:keepNext/>
        <w:spacing w:after="120" w:before="160"/>
      </w:pPr>
      <w:r>
        <w:rPr>
          <w:b/>
          <w:color w:val="367DB1"/>
          <w:sz w:val="24"/>
        </w:rPr>
        <w:t>3  相关词汇与搭配：本篇马上用得上的表达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102"/>
        <w:gridCol w:w="4989"/>
      </w:tblGrid>
      <w:tr>
        <w:trPr>
          <w:cantSplit/>
          <w:tblHeader/>
        </w:trPr>
        <w:tc>
          <w:tcPr>
            <w:tcW w:type="dxa" w:w="5102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表达</w:t>
            </w:r>
          </w:p>
        </w:tc>
        <w:tc>
          <w:tcPr>
            <w:tcW w:type="dxa" w:w="4989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中文与用法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an actor / a singer / a sportsperson</w:t>
            </w:r>
          </w:p>
        </w:tc>
        <w:tc>
          <w:tcPr>
            <w:tcW w:type="dxa" w:w="498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演员／歌手／运动员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 film-maker / an online creator</w:t>
            </w:r>
          </w:p>
        </w:tc>
        <w:tc>
          <w:tcPr>
            <w:tcW w:type="dxa" w:w="498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影视制作人／网络创作者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 famous for ... / play the role of ...</w:t>
            </w:r>
          </w:p>
        </w:tc>
        <w:tc>
          <w:tcPr>
            <w:tcW w:type="dxa" w:w="498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因……出名／扮演……角色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admire someone's work / enjoy her acting</w:t>
            </w:r>
          </w:p>
        </w:tc>
        <w:tc>
          <w:tcPr>
            <w:tcW w:type="dxa" w:w="498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欣赏某人的作品／喜欢她的表演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prepare for roles / perform live</w:t>
            </w:r>
          </w:p>
        </w:tc>
        <w:tc>
          <w:tcPr>
            <w:tcW w:type="dxa" w:w="498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为角色作准备／现场表演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have less privacy / be noticed in public</w:t>
            </w:r>
          </w:p>
        </w:tc>
        <w:tc>
          <w:tcPr>
            <w:tcW w:type="dxa" w:w="498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私人空间更少／在公共场合被认出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opportunities / fame / public attention</w:t>
            </w:r>
          </w:p>
        </w:tc>
        <w:tc>
          <w:tcPr>
            <w:tcW w:type="dxa" w:w="498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机会／名气／公众关注</w:t>
            </w:r>
          </w:p>
        </w:tc>
      </w:tr>
      <w:tr>
        <w:trPr>
          <w:cantSplit/>
        </w:trPr>
        <w:tc>
          <w:tcPr>
            <w:tcW w:type="dxa" w:w="5102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don't think ... is always easy.</w:t>
            </w:r>
          </w:p>
        </w:tc>
        <w:tc>
          <w:tcPr>
            <w:tcW w:type="dxa" w:w="498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我不认为……总是轻松的；其后仍要说明理由。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/>
        <w:spacing w:after="120" w:before="160"/>
      </w:pPr>
      <w:r>
        <w:rPr>
          <w:b/>
          <w:color w:val="367DB1"/>
          <w:sz w:val="24"/>
        </w:rPr>
        <w:t>4  连接词及用法：组织原因、例子和转折</w:t>
      </w:r>
    </w:p>
    <w:p>
      <w:pPr>
        <w:keepNext w:val="0"/>
        <w:spacing w:after="120" w:before="0"/>
      </w:pPr>
      <w:r>
        <w:rPr>
          <w:b w:val="0"/>
        </w:rPr>
        <w:t>本题主要需要原因、举例、转折和补充。按实际意思选择，不必每个都使用。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64"/>
        <w:gridCol w:w="3969"/>
        <w:gridCol w:w="5159"/>
      </w:tblGrid>
      <w:tr>
        <w:trPr>
          <w:cantSplit/>
          <w:tblHeader/>
        </w:trPr>
        <w:tc>
          <w:tcPr>
            <w:tcW w:type="dxa" w:w="964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目的</w:t>
            </w:r>
          </w:p>
        </w:tc>
        <w:tc>
          <w:tcPr>
            <w:tcW w:type="dxa" w:w="3969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连接词与用法</w:t>
            </w:r>
          </w:p>
        </w:tc>
        <w:tc>
          <w:tcPr>
            <w:tcW w:type="dxa" w:w="5159"/>
            <w:vAlign w:val="center"/>
            <w:shd w:fill="367DB1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/>
                <w:color w:val="FFFFFF"/>
                <w:sz w:val="20"/>
              </w:rPr>
              <w:t>本题例句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原因</w:t>
            </w:r>
          </w:p>
        </w:tc>
        <w:tc>
          <w:tcPr>
            <w:tcW w:type="dxa" w:w="396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because + 原因分句</w:t>
            </w:r>
          </w:p>
        </w:tc>
        <w:tc>
          <w:tcPr>
            <w:tcW w:type="dxa" w:w="515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I admire her because I enjoy her acting.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举例</w:t>
            </w:r>
          </w:p>
        </w:tc>
        <w:tc>
          <w:tcPr>
            <w:tcW w:type="dxa" w:w="396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/ For instance,</w:t>
              <w:br/>
              <w:t>后接具体例子或说明</w:t>
            </w:r>
          </w:p>
        </w:tc>
        <w:tc>
          <w:tcPr>
            <w:tcW w:type="dxa" w:w="515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For example, she shows the character's feelings clearly.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转折</w:t>
            </w:r>
          </w:p>
        </w:tc>
        <w:tc>
          <w:tcPr>
            <w:tcW w:type="dxa" w:w="396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However, 常另起一句</w:t>
            </w:r>
          </w:p>
        </w:tc>
        <w:tc>
          <w:tcPr>
            <w:tcW w:type="dxa" w:w="5159"/>
            <w:vAlign w:val="center"/>
            <w:shd w:fill="EEF5FB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Her work looks exciting. However, fame may reduce privacy.</w:t>
            </w:r>
          </w:p>
        </w:tc>
      </w:tr>
      <w:tr>
        <w:trPr>
          <w:cantSplit/>
        </w:trPr>
        <w:tc>
          <w:tcPr>
            <w:tcW w:type="dxa" w:w="964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补充</w:t>
            </w:r>
          </w:p>
        </w:tc>
        <w:tc>
          <w:tcPr>
            <w:tcW w:type="dxa" w:w="396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also 常在情态动词后、实义动词前</w:t>
            </w:r>
          </w:p>
        </w:tc>
        <w:tc>
          <w:tcPr>
            <w:tcW w:type="dxa" w:w="5159"/>
            <w:vAlign w:val="center"/>
            <w:shd w:fill="FFFFFF"/>
            <w:tcMar>
              <w:top w:w="50" w:type="dxa"/>
              <w:left w:w="100" w:type="dxa"/>
              <w:bottom w:w="50" w:type="dxa"/>
              <w:right w:w="100" w:type="dxa"/>
            </w:tcMar>
          </w:tcPr>
          <w:p>
            <w:pPr>
              <w:spacing w:after="40" w:before="0" w:line="264" w:lineRule="auto"/>
            </w:pPr>
            <w:r>
              <w:rPr>
                <w:b w:val="0"/>
                <w:color w:val="203448"/>
                <w:sz w:val="20"/>
              </w:rPr>
              <w:t>Fame may also make private time harder to protect.</w:t>
            </w:r>
          </w:p>
        </w:tc>
      </w:tr>
    </w:tbl>
    <w:p>
      <w:pPr>
        <w:spacing w:after="0" w:before="0" w:line="60" w:lineRule="exact"/>
      </w:pPr>
      <w:r>
        <w:rPr>
          <w:sz w:val="2"/>
        </w:rPr>
      </w:r>
    </w:p>
    <w:p>
      <w:pPr>
        <w:keepNext w:val="0"/>
        <w:spacing w:after="80" w:before="0"/>
      </w:pPr>
      <w:r>
        <w:rPr>
          <w:b/>
          <w:color w:val="367DB1"/>
          <w:sz w:val="21"/>
        </w:rPr>
        <w:t>用法提醒</w:t>
      </w:r>
    </w:p>
    <w:p>
      <w:pPr>
        <w:keepNext w:val="0"/>
        <w:spacing w:after="0" w:before="0"/>
      </w:pPr>
      <w:r>
        <w:rPr>
          <w:b w:val="0"/>
          <w:sz w:val="20"/>
        </w:rPr>
        <w:t>• for example / for instance 在本题举例处可以互换，词语也可按需要重复。</w:t>
        <w:br/>
        <w:t>• However 后常加逗号，前面的完整句子用句号结束。</w:t>
        <w:br/>
        <w:t>• 喜欢的原因要有具体支持；生活是否轻松的判断也必须有解释。</w:t>
      </w:r>
    </w:p>
    <w:sectPr w:rsidR="00FC693F" w:rsidRPr="0006063C" w:rsidSect="00034616">
      <w:footerReference w:type="default" r:id="rId9"/>
      <w:pgSz w:w="11906" w:h="16838"/>
      <w:pgMar w:top="794" w:right="907" w:bottom="765" w:left="907" w:header="312" w:footer="34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A6978"/>
        <w:sz w:val="16"/>
      </w:rPr>
      <w:t xml:space="preserve">PET Article · A famous person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YaHei" w:hAnsi="Microsoft YaHei" w:eastAsia="Microsoft YaHei" w:cs="Microsoft YaHei"/>
      <w:color w:val="20344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Microsoft YaHei" w:hAnsi="Microsoft YaHei" w:eastAsia="Microsoft YaHei" w:cs="Microsoft YaHei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Microsoft YaHei" w:hAnsi="Microsoft YaHei" w:eastAsia="Microsoft YaHei" w:cs="Microsoft YaHe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Microsoft YaHei" w:hAnsi="Microsoft YaHei" w:eastAsia="Microsoft YaHei" w:cs="Microsoft YaHei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rFonts w:ascii="Microsoft YaHei" w:hAnsi="Microsoft YaHei" w:eastAsia="Microsoft YaHei" w:cs="Microsoft YaHei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rFonts w:ascii="Microsoft YaHei" w:hAnsi="Microsoft YaHei" w:eastAsia="Microsoft YaHei" w:cs="Microsoft YaHei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Microsoft YaHei" w:hAnsi="Microsoft YaHei" w:eastAsia="Microsoft YaHei" w:cs="Microsoft YaHei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rFonts w:ascii="Microsoft YaHei" w:hAnsi="Microsoft YaHei" w:eastAsia="Microsoft YaHei" w:cs="Microsoft YaHei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Microsoft YaHei" w:hAnsi="Microsoft YaHei" w:eastAsia="Microsoft YaHei" w:cs="Microsoft YaHei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rFonts w:ascii="Microsoft YaHei" w:hAnsi="Microsoft YaHei" w:eastAsia="Microsoft YaHei" w:cs="Microsoft YaHei"/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Microsoft YaHei" w:hAnsi="Microsoft YaHei" w:eastAsia="Microsoft YaHei" w:cs="Microsoft YaHei"/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rFonts w:ascii="Microsoft YaHei" w:hAnsi="Microsoft YaHei" w:eastAsia="Microsoft YaHei" w:cs="Microsoft YaHei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rFonts w:ascii="Microsoft YaHei" w:hAnsi="Microsoft YaHei" w:eastAsia="Microsoft YaHei" w:cs="Microsoft YaHei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rFonts w:ascii="Microsoft YaHei" w:hAnsi="Microsoft YaHei" w:eastAsia="Microsoft YaHei" w:cs="Microsoft YaHei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Microsoft YaHei" w:hAnsi="Microsoft YaHei" w:eastAsia="Microsoft YaHei" w:cs="Microsoft YaHei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rFonts w:ascii="Microsoft YaHei" w:hAnsi="Microsoft YaHei" w:eastAsia="Microsoft YaHei" w:cs="Microsoft YaHei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rFonts w:ascii="Microsoft YaHei" w:hAnsi="Microsoft YaHei" w:eastAsia="Microsoft YaHei" w:cs="Microsoft YaHei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Microsoft YaHei" w:hAnsi="Microsoft YaHei" w:eastAsia="Microsoft YaHei" w:cs="Microsoft YaHei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rFonts w:ascii="Microsoft YaHei" w:hAnsi="Microsoft YaHei" w:eastAsia="Microsoft YaHei" w:cs="Microsoft YaHei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rFonts w:ascii="Microsoft YaHei" w:hAnsi="Microsoft YaHei" w:eastAsia="Microsoft YaHei" w:cs="Microsoft YaHei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rFonts w:ascii="Microsoft YaHei" w:hAnsi="Microsoft YaHei" w:eastAsia="Microsoft YaHei" w:cs="Microsoft YaHei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rFonts w:ascii="Microsoft YaHei" w:hAnsi="Microsoft YaHei" w:eastAsia="Microsoft YaHei" w:cs="Microsoft YaHei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rFonts w:ascii="Microsoft YaHei" w:hAnsi="Microsoft YaHei" w:eastAsia="Microsoft YaHei" w:cs="Microsoft YaHei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Microsoft YaHei" w:hAnsi="Microsoft YaHei" w:eastAsia="Microsoft YaHei" w:cs="Microsoft YaHei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Microsoft YaHei" w:hAnsi="Microsoft YaHei" w:eastAsia="Microsoft YaHei" w:cs="Microsoft YaHei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Microsoft YaHei" w:hAnsi="Microsoft YaHei" w:eastAsia="Microsoft YaHei" w:cs="Microsoft YaHei"/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Microsoft YaHei" w:hAnsi="Microsoft YaHei" w:eastAsia="Microsoft YaHei" w:cs="Microsoft YaHe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rFonts w:ascii="Microsoft YaHei" w:hAnsi="Microsoft YaHei" w:eastAsia="Microsoft YaHei" w:cs="Microsoft YaHei"/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Microsoft YaHei" w:hAnsi="Microsoft YaHei" w:eastAsia="Microsoft YaHei" w:cs="Microsoft YaHei"/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rFonts w:ascii="Microsoft YaHei" w:hAnsi="Microsoft YaHei" w:eastAsia="Microsoft YaHei" w:cs="Microsoft YaHei"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Microsoft YaHei" w:hAnsi="Microsoft YaHei" w:eastAsia="Microsoft YaHei" w:cs="Microsoft YaHei"/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Microsoft YaHei" w:hAnsi="Microsoft YaHei" w:eastAsia="Microsoft YaHei" w:cs="Microsoft YaHei"/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Microsoft YaHei" w:hAnsi="Microsoft YaHei" w:eastAsia="Microsoft YaHei" w:cs="Microsoft YaHei"/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Microsoft YaHei" w:hAnsi="Microsoft YaHei" w:eastAsia="Microsoft YaHei" w:cs="Microsoft YaHei"/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Microsoft YaHei" w:hAnsi="Microsoft YaHei" w:eastAsia="Microsoft YaHei" w:cs="Microsoft YaHei"/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rFonts w:ascii="Microsoft YaHei" w:hAnsi="Microsoft YaHei" w:eastAsia="Microsoft YaHei" w:cs="Microsoft YaHei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