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35" w:type="dxa"/>
        <w:tblInd w:w="10" w:type="dxa"/>
        <w:tblLook w:val="04A0" w:firstRow="1" w:lastRow="0" w:firstColumn="1" w:lastColumn="0" w:noHBand="0" w:noVBand="1"/>
      </w:tblPr>
      <w:tblGrid>
        <w:gridCol w:w="2917"/>
        <w:gridCol w:w="805"/>
        <w:gridCol w:w="1280"/>
        <w:gridCol w:w="1426"/>
        <w:gridCol w:w="6607"/>
      </w:tblGrid>
      <w:tr w:rsidR="000D76E8" w:rsidRPr="00A94816" w14:paraId="2A57C1B6" w14:textId="77777777" w:rsidTr="000D76E8">
        <w:trPr>
          <w:trHeight w:val="483"/>
        </w:trPr>
        <w:tc>
          <w:tcPr>
            <w:tcW w:w="2917" w:type="dxa"/>
            <w:shd w:val="pct12" w:color="auto" w:fill="auto"/>
            <w:vAlign w:val="center"/>
          </w:tcPr>
          <w:p w14:paraId="75755598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9481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805" w:type="dxa"/>
            <w:shd w:val="pct12" w:color="auto" w:fill="auto"/>
            <w:vAlign w:val="center"/>
          </w:tcPr>
          <w:p w14:paraId="316192C5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94816">
              <w:rPr>
                <w:rFonts w:ascii="Times New Roman" w:hAnsi="Times New Roman" w:cs="Times New Roman"/>
                <w:b/>
              </w:rPr>
              <w:t>Date of filing</w:t>
            </w:r>
          </w:p>
        </w:tc>
        <w:tc>
          <w:tcPr>
            <w:tcW w:w="1280" w:type="dxa"/>
            <w:shd w:val="pct12" w:color="auto" w:fill="auto"/>
            <w:vAlign w:val="center"/>
          </w:tcPr>
          <w:p w14:paraId="07484E6F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94816">
              <w:rPr>
                <w:rFonts w:ascii="Times New Roman" w:hAnsi="Times New Roman" w:cs="Times New Roman"/>
                <w:b/>
              </w:rPr>
              <w:t>Date of publication</w:t>
            </w:r>
          </w:p>
        </w:tc>
        <w:tc>
          <w:tcPr>
            <w:tcW w:w="1426" w:type="dxa"/>
            <w:shd w:val="pct12" w:color="auto" w:fill="auto"/>
            <w:vAlign w:val="center"/>
          </w:tcPr>
          <w:p w14:paraId="7BF5BB02" w14:textId="56EE534A" w:rsidR="0076582B" w:rsidRPr="00A94816" w:rsidRDefault="000D76E8" w:rsidP="000D76E8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classification</w:t>
            </w:r>
          </w:p>
        </w:tc>
        <w:tc>
          <w:tcPr>
            <w:tcW w:w="6607" w:type="dxa"/>
            <w:shd w:val="pct12" w:color="auto" w:fill="auto"/>
            <w:vAlign w:val="center"/>
          </w:tcPr>
          <w:p w14:paraId="1D142EE5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</w:t>
            </w:r>
          </w:p>
        </w:tc>
      </w:tr>
      <w:tr w:rsidR="000D76E8" w:rsidRPr="00A94816" w14:paraId="6311953E" w14:textId="77777777" w:rsidTr="000D76E8">
        <w:trPr>
          <w:trHeight w:val="755"/>
        </w:trPr>
        <w:tc>
          <w:tcPr>
            <w:tcW w:w="2917" w:type="dxa"/>
            <w:vAlign w:val="center"/>
          </w:tcPr>
          <w:p w14:paraId="03AF37A4" w14:textId="77777777" w:rsidR="0076582B" w:rsidRPr="00A94816" w:rsidRDefault="0076582B" w:rsidP="00E214BF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A94816">
              <w:rPr>
                <w:rFonts w:ascii="Times New Roman" w:hAnsi="Times New Roman" w:cs="Times New Roman"/>
              </w:rPr>
              <w:t>Methods for identifying drug targets based on genomic sequence data</w:t>
            </w:r>
          </w:p>
        </w:tc>
        <w:tc>
          <w:tcPr>
            <w:tcW w:w="805" w:type="dxa"/>
            <w:vAlign w:val="center"/>
          </w:tcPr>
          <w:p w14:paraId="73F63DDB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13, 2013</w:t>
            </w:r>
          </w:p>
        </w:tc>
        <w:tc>
          <w:tcPr>
            <w:tcW w:w="1280" w:type="dxa"/>
            <w:vAlign w:val="center"/>
          </w:tcPr>
          <w:p w14:paraId="48AFEC00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23, 2015</w:t>
            </w:r>
          </w:p>
        </w:tc>
        <w:tc>
          <w:tcPr>
            <w:tcW w:w="1426" w:type="dxa"/>
            <w:vAlign w:val="center"/>
          </w:tcPr>
          <w:p w14:paraId="1FFD9624" w14:textId="77777777" w:rsidR="0076582B" w:rsidRPr="0076582B" w:rsidRDefault="0076582B" w:rsidP="0076582B">
            <w:pPr>
              <w:spacing w:after="275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00ECF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AFAFA"/>
              </w:rPr>
              <w:t>G06F19/18</w:t>
            </w:r>
          </w:p>
        </w:tc>
        <w:tc>
          <w:tcPr>
            <w:tcW w:w="6607" w:type="dxa"/>
            <w:vAlign w:val="center"/>
          </w:tcPr>
          <w:p w14:paraId="5E75AA42" w14:textId="77777777" w:rsidR="0076582B" w:rsidRPr="0076582B" w:rsidRDefault="0076582B" w:rsidP="0076582B">
            <w:pPr>
              <w:spacing w:after="275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00ECF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AFAFA"/>
              </w:rPr>
              <w:t>G06F19/18</w:t>
            </w:r>
          </w:p>
        </w:tc>
      </w:tr>
      <w:tr w:rsidR="000D76E8" w:rsidRPr="00A94816" w14:paraId="0525FFD6" w14:textId="77777777" w:rsidTr="000D76E8">
        <w:trPr>
          <w:trHeight w:val="1214"/>
        </w:trPr>
        <w:tc>
          <w:tcPr>
            <w:tcW w:w="2917" w:type="dxa"/>
            <w:vAlign w:val="center"/>
          </w:tcPr>
          <w:p w14:paraId="3497619D" w14:textId="77777777" w:rsidR="0076582B" w:rsidRPr="00A94816" w:rsidRDefault="0076582B" w:rsidP="00E214BF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Computer-based system, methods and graphical interface for information storage, modeling and stimulation of complex systems</w:t>
            </w:r>
          </w:p>
        </w:tc>
        <w:tc>
          <w:tcPr>
            <w:tcW w:w="805" w:type="dxa"/>
            <w:vAlign w:val="center"/>
          </w:tcPr>
          <w:p w14:paraId="2E8881B4" w14:textId="77777777" w:rsidR="0076582B" w:rsidRPr="00A94816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17, 1995</w:t>
            </w:r>
          </w:p>
        </w:tc>
        <w:tc>
          <w:tcPr>
            <w:tcW w:w="1280" w:type="dxa"/>
            <w:vAlign w:val="center"/>
          </w:tcPr>
          <w:p w14:paraId="45E49CAC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9, 1999</w:t>
            </w:r>
          </w:p>
        </w:tc>
        <w:tc>
          <w:tcPr>
            <w:tcW w:w="1426" w:type="dxa"/>
            <w:vAlign w:val="center"/>
          </w:tcPr>
          <w:p w14:paraId="6E5B5ADB" w14:textId="77777777" w:rsidR="0076582B" w:rsidRPr="0076582B" w:rsidRDefault="0076582B" w:rsidP="0076582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0ECF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AFAFA"/>
              </w:rPr>
              <w:t>G06F19/18</w:t>
            </w:r>
          </w:p>
        </w:tc>
        <w:tc>
          <w:tcPr>
            <w:tcW w:w="6607" w:type="dxa"/>
            <w:vAlign w:val="center"/>
          </w:tcPr>
          <w:p w14:paraId="41B984BC" w14:textId="77777777" w:rsidR="0076582B" w:rsidRPr="0076582B" w:rsidRDefault="0076582B" w:rsidP="0076582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00ECF">
              <w:rPr>
                <w:rFonts w:ascii="Times New Roman" w:eastAsia="Times New Roman" w:hAnsi="Times New Roman" w:cs="Times New Roman"/>
                <w:iCs/>
                <w:sz w:val="24"/>
                <w:szCs w:val="24"/>
                <w:shd w:val="clear" w:color="auto" w:fill="FAFAFA"/>
              </w:rPr>
              <w:t>G06F19/18</w:t>
            </w:r>
          </w:p>
        </w:tc>
      </w:tr>
      <w:tr w:rsidR="000D76E8" w:rsidRPr="00A94816" w14:paraId="6A1CF166" w14:textId="77777777" w:rsidTr="000D76E8">
        <w:trPr>
          <w:trHeight w:val="629"/>
        </w:trPr>
        <w:tc>
          <w:tcPr>
            <w:tcW w:w="2917" w:type="dxa"/>
            <w:vAlign w:val="center"/>
          </w:tcPr>
          <w:p w14:paraId="1DD4588F" w14:textId="77777777" w:rsidR="0076582B" w:rsidRPr="00A94816" w:rsidRDefault="0076582B" w:rsidP="0076582B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Methods and systems for genome-scale kinetic modeling</w:t>
            </w:r>
          </w:p>
        </w:tc>
        <w:tc>
          <w:tcPr>
            <w:tcW w:w="805" w:type="dxa"/>
            <w:vAlign w:val="center"/>
          </w:tcPr>
          <w:p w14:paraId="7656390B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19, 2008</w:t>
            </w:r>
          </w:p>
        </w:tc>
        <w:tc>
          <w:tcPr>
            <w:tcW w:w="1280" w:type="dxa"/>
            <w:vAlign w:val="center"/>
          </w:tcPr>
          <w:p w14:paraId="64D745B1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13, 2011</w:t>
            </w:r>
          </w:p>
        </w:tc>
        <w:tc>
          <w:tcPr>
            <w:tcW w:w="1426" w:type="dxa"/>
            <w:vAlign w:val="center"/>
          </w:tcPr>
          <w:p w14:paraId="31998A51" w14:textId="77777777" w:rsidR="0076582B" w:rsidRPr="00A94816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  <w:tc>
          <w:tcPr>
            <w:tcW w:w="6607" w:type="dxa"/>
            <w:vAlign w:val="center"/>
          </w:tcPr>
          <w:p w14:paraId="6A5C184B" w14:textId="77777777" w:rsidR="0076582B" w:rsidRPr="00E00ECF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</w:tr>
      <w:tr w:rsidR="000D76E8" w:rsidRPr="00A94816" w14:paraId="45BF3857" w14:textId="77777777" w:rsidTr="000D76E8">
        <w:trPr>
          <w:trHeight w:val="431"/>
        </w:trPr>
        <w:tc>
          <w:tcPr>
            <w:tcW w:w="2917" w:type="dxa"/>
            <w:vAlign w:val="center"/>
          </w:tcPr>
          <w:p w14:paraId="7365D56E" w14:textId="77777777" w:rsidR="0076582B" w:rsidRPr="00A94816" w:rsidRDefault="0076582B" w:rsidP="00E214BF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Method for the evolutionary design of biochemical reaction networks</w:t>
            </w:r>
          </w:p>
        </w:tc>
        <w:tc>
          <w:tcPr>
            <w:tcW w:w="805" w:type="dxa"/>
            <w:vAlign w:val="center"/>
          </w:tcPr>
          <w:p w14:paraId="24B9D513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27, 2001</w:t>
            </w:r>
          </w:p>
        </w:tc>
        <w:tc>
          <w:tcPr>
            <w:tcW w:w="1280" w:type="dxa"/>
            <w:vAlign w:val="center"/>
          </w:tcPr>
          <w:p w14:paraId="082FF3FA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24, 20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426" w:type="dxa"/>
            <w:vAlign w:val="center"/>
          </w:tcPr>
          <w:p w14:paraId="32AF6888" w14:textId="77777777" w:rsidR="0076582B" w:rsidRPr="00A94816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  <w:tc>
          <w:tcPr>
            <w:tcW w:w="6607" w:type="dxa"/>
            <w:vAlign w:val="center"/>
          </w:tcPr>
          <w:p w14:paraId="0E49F16A" w14:textId="77777777" w:rsidR="0076582B" w:rsidRPr="00E00ECF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</w:tr>
      <w:tr w:rsidR="000D76E8" w:rsidRPr="00A94816" w14:paraId="4D18060B" w14:textId="77777777" w:rsidTr="000D76E8">
        <w:trPr>
          <w:trHeight w:val="1097"/>
        </w:trPr>
        <w:tc>
          <w:tcPr>
            <w:tcW w:w="2917" w:type="dxa"/>
            <w:vAlign w:val="center"/>
          </w:tcPr>
          <w:p w14:paraId="53E12A5C" w14:textId="77777777" w:rsidR="0076582B" w:rsidRPr="00A94816" w:rsidRDefault="0076582B" w:rsidP="00E214BF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0B2E7B">
              <w:rPr>
                <w:rFonts w:ascii="Times New Roman" w:hAnsi="Times New Roman" w:cs="Times New Roman"/>
              </w:rPr>
              <w:t>Pharmacogenomics and identification of drug targets by reconstruction of signal transduction pathways based on sequences of accessible regions</w:t>
            </w:r>
          </w:p>
        </w:tc>
        <w:tc>
          <w:tcPr>
            <w:tcW w:w="805" w:type="dxa"/>
            <w:vAlign w:val="center"/>
          </w:tcPr>
          <w:p w14:paraId="0022F394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27, 2001</w:t>
            </w:r>
          </w:p>
        </w:tc>
        <w:tc>
          <w:tcPr>
            <w:tcW w:w="1280" w:type="dxa"/>
            <w:vAlign w:val="center"/>
          </w:tcPr>
          <w:p w14:paraId="57E7144F" w14:textId="77777777" w:rsidR="0076582B" w:rsidRPr="00A94816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26, 2003</w:t>
            </w:r>
          </w:p>
        </w:tc>
        <w:tc>
          <w:tcPr>
            <w:tcW w:w="1426" w:type="dxa"/>
            <w:vAlign w:val="center"/>
          </w:tcPr>
          <w:p w14:paraId="57030699" w14:textId="77777777" w:rsidR="0076582B" w:rsidRPr="0076582B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2E7B">
              <w:rPr>
                <w:rFonts w:ascii="Times New Roman" w:hAnsi="Times New Roman" w:cs="Times New Roman"/>
                <w:color w:val="000000" w:themeColor="text1"/>
                <w:szCs w:val="24"/>
              </w:rPr>
              <w:t>G06F19/22</w:t>
            </w:r>
          </w:p>
        </w:tc>
        <w:tc>
          <w:tcPr>
            <w:tcW w:w="6607" w:type="dxa"/>
            <w:vAlign w:val="center"/>
          </w:tcPr>
          <w:p w14:paraId="2A20F306" w14:textId="77777777" w:rsidR="0076582B" w:rsidRPr="0076582B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2E7B">
              <w:rPr>
                <w:rFonts w:ascii="Times New Roman" w:hAnsi="Times New Roman" w:cs="Times New Roman"/>
                <w:color w:val="000000" w:themeColor="text1"/>
                <w:szCs w:val="24"/>
              </w:rPr>
              <w:t>G06F19/22</w:t>
            </w:r>
          </w:p>
        </w:tc>
      </w:tr>
      <w:tr w:rsidR="000D76E8" w:rsidRPr="00A94816" w14:paraId="1A70C578" w14:textId="77777777" w:rsidTr="000D76E8">
        <w:trPr>
          <w:trHeight w:val="471"/>
        </w:trPr>
        <w:tc>
          <w:tcPr>
            <w:tcW w:w="2917" w:type="dxa"/>
            <w:vAlign w:val="center"/>
          </w:tcPr>
          <w:p w14:paraId="2DACBE2C" w14:textId="77777777" w:rsidR="0076582B" w:rsidRPr="000B2E7B" w:rsidRDefault="0076582B" w:rsidP="00E214BF">
            <w:pPr>
              <w:spacing w:after="275"/>
              <w:ind w:left="0" w:firstLine="0"/>
              <w:rPr>
                <w:rFonts w:ascii="Times New Roman" w:hAnsi="Times New Roman" w:cs="Times New Roman"/>
              </w:rPr>
            </w:pPr>
            <w:r w:rsidRPr="00DD44B1">
              <w:rPr>
                <w:rFonts w:ascii="Times New Roman" w:hAnsi="Times New Roman" w:cs="Times New Roman"/>
              </w:rPr>
              <w:t>Method for determining gene knockout strategies</w:t>
            </w:r>
          </w:p>
        </w:tc>
        <w:tc>
          <w:tcPr>
            <w:tcW w:w="805" w:type="dxa"/>
            <w:vAlign w:val="center"/>
          </w:tcPr>
          <w:p w14:paraId="57086038" w14:textId="77777777" w:rsidR="0076582B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9, 2003</w:t>
            </w:r>
          </w:p>
        </w:tc>
        <w:tc>
          <w:tcPr>
            <w:tcW w:w="1280" w:type="dxa"/>
            <w:vAlign w:val="center"/>
          </w:tcPr>
          <w:p w14:paraId="7760340F" w14:textId="77777777" w:rsidR="0076582B" w:rsidRDefault="0076582B" w:rsidP="00E214BF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4, 2004</w:t>
            </w:r>
          </w:p>
        </w:tc>
        <w:tc>
          <w:tcPr>
            <w:tcW w:w="1426" w:type="dxa"/>
            <w:vAlign w:val="center"/>
          </w:tcPr>
          <w:p w14:paraId="40BA1CFC" w14:textId="77777777" w:rsidR="0076582B" w:rsidRPr="0076582B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  <w:tc>
          <w:tcPr>
            <w:tcW w:w="6607" w:type="dxa"/>
            <w:vAlign w:val="center"/>
          </w:tcPr>
          <w:p w14:paraId="3EF6BB00" w14:textId="77777777" w:rsidR="0076582B" w:rsidRPr="00E00ECF" w:rsidRDefault="0076582B" w:rsidP="0076582B">
            <w:pPr>
              <w:spacing w:after="275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E00ECF">
              <w:rPr>
                <w:rFonts w:ascii="Times New Roman" w:hAnsi="Times New Roman" w:cs="Times New Roman"/>
              </w:rPr>
              <w:t>G06F19/12</w:t>
            </w:r>
          </w:p>
        </w:tc>
      </w:tr>
    </w:tbl>
    <w:p w14:paraId="73545798" w14:textId="77777777" w:rsidR="00276D94" w:rsidRDefault="000D76E8"/>
    <w:sectPr w:rsidR="00276D94" w:rsidSect="007658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2B"/>
    <w:rsid w:val="000D76E8"/>
    <w:rsid w:val="00285DED"/>
    <w:rsid w:val="00642BFA"/>
    <w:rsid w:val="0076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BC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2B"/>
    <w:pPr>
      <w:spacing w:after="26" w:line="249" w:lineRule="auto"/>
      <w:ind w:left="10" w:hanging="10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82B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Chen</dc:creator>
  <cp:keywords/>
  <dc:description/>
  <cp:lastModifiedBy>Laurence Chen</cp:lastModifiedBy>
  <cp:revision>2</cp:revision>
  <dcterms:created xsi:type="dcterms:W3CDTF">2015-11-22T01:26:00Z</dcterms:created>
  <dcterms:modified xsi:type="dcterms:W3CDTF">2015-11-22T01:31:00Z</dcterms:modified>
</cp:coreProperties>
</file>