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5C5EF">
      <w:pPr>
        <w:pStyle w:val="3"/>
        <w:pageBreakBefore w:val="0"/>
        <w:widowControl/>
        <w:kinsoku/>
        <w:wordWrap/>
        <w:overflowPunct/>
        <w:topLinePunct w:val="0"/>
        <w:autoSpaceDE/>
        <w:autoSpaceDN/>
        <w:bidi w:val="0"/>
        <w:adjustRightInd/>
        <w:snapToGrid/>
        <w:spacing w:before="0" w:after="0" w:line="400" w:lineRule="exact"/>
        <w:textAlignment w:val="auto"/>
        <w:rPr>
          <w:rFonts w:hint="eastAsia" w:ascii="Times New Roman" w:hAnsi="Times New Roman" w:eastAsia="宋体" w:cs="宋体"/>
          <w:b/>
          <w:bCs/>
          <w:sz w:val="28"/>
        </w:rPr>
      </w:pPr>
      <w:r>
        <w:rPr>
          <w:rFonts w:hint="eastAsia" w:ascii="Times New Roman" w:hAnsi="Times New Roman" w:eastAsia="宋体" w:cs="宋体"/>
          <w:b/>
          <w:bCs/>
          <w:sz w:val="28"/>
        </w:rPr>
        <w:t>MRC靶标图像处理方法（中文期刊写作版）</w:t>
      </w:r>
    </w:p>
    <w:p w14:paraId="7FC7C44D">
      <w:pPr>
        <w:keepNext w:val="0"/>
        <w:keepLines w:val="0"/>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本文档基于项目中 `MRC.py` 的实际实现，给出可直接用于中文期刊“方法”章节的算法描述，包含理论依据、处理流程、关键参数与可复现说明。</w:t>
      </w:r>
    </w:p>
    <w:p w14:paraId="73FD437C">
      <w:pPr>
        <w:keepNext w:val="0"/>
        <w:keepLines w:val="0"/>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生成时间：2026-03-10 17:05:22</w:t>
      </w:r>
    </w:p>
    <w:p w14:paraId="3146096D">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1研究目标与任务定义</w:t>
      </w:r>
    </w:p>
    <w:p w14:paraId="15DF5C21">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针对 MRC 图像中的规则矩形纹理块，构建一套在光照变化与颜色漂移条件下仍具稳定性的检测与分组算法。具体目标为：（1）识别目标矩形；（2）按照“每4个由旋转关系构成一组”进行分组；（3）在可行条件下输出 25 组（共100个矩形）；（4）对最中心且通常最小的一组进行特殊标注。</w:t>
      </w:r>
    </w:p>
    <w:p w14:paraId="551EEF14">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2颜色自适应候选区域提取</w:t>
      </w:r>
    </w:p>
    <w:p w14:paraId="4DBBE3B6">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考虑到靶标颜色随光照可能由橙色变化为绿色或其他色调，本文采用“颜色无关”的分割策略，避免固定色相阈值造成的失效。</w:t>
      </w:r>
    </w:p>
    <w:p w14:paraId="76C99464">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2.1 LAB 色度幅值建模：在 CIELAB 空间中计算色度幅值 C = sqrt((a-128)^2 + (b-128)^2)，通过该量表征颜色强度而非颜色类别，可提升跨光源场景适应性。</w:t>
      </w:r>
    </w:p>
    <w:p w14:paraId="6432B2CC">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2.2 阈值分割与平滑：对色度图进行高斯平滑后采用 Otsu 自动阈值分割，得到主候选掩膜。</w:t>
      </w:r>
    </w:p>
    <w:p w14:paraId="634CBF2C">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2.3 低饱和兜底分支：在灰度域执行 CLAHE 对比度增强与 Top-hat 结构增强，随后使用自适应高斯阈值。若主掩膜前景像素不足，则将灰度分支结果并入最终掩膜。</w:t>
      </w:r>
    </w:p>
    <w:p w14:paraId="2FCF36EB">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2.4 形态学修正：采用 3×3 椭圆结构元素进行闭运算，以连接局部断裂并抑制小孔洞。</w:t>
      </w:r>
    </w:p>
    <w:p w14:paraId="7763243B">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3矩形候选筛选</w:t>
      </w:r>
    </w:p>
    <w:p w14:paraId="312BD994">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在二值掩膜上提取外轮廓后，依据先验几何条件筛选矩形候选。具体步骤为：计算最小外接旋转矩形与轴对齐外接框，保留面积与长宽比位于阈值区间内的轮廓。</w:t>
      </w:r>
    </w:p>
    <w:p w14:paraId="767837D2">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当候选数量过多（&gt;120）时，定义质量评分 Q = |A - median(A)| / median(A) + 0.7*(aspect-1)，优先保留面积与形态更接近目标分布的候选。</w:t>
      </w:r>
    </w:p>
    <w:p w14:paraId="49D90627">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4极坐标特征构建</w:t>
      </w:r>
    </w:p>
    <w:p w14:paraId="236152DE">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以所有候选中心点均值估计全局中心 O。对每个候选 i，计算其极径 r_i 与极角 theta_i。该特征用于描述围绕全局中心的旋转几何关系，是后续四元组匹配的核心依据。</w:t>
      </w:r>
    </w:p>
    <w:p w14:paraId="07D5309B">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5基于旋转预测的四元组分组</w:t>
      </w:r>
    </w:p>
    <w:p w14:paraId="58065C63">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采用两阶段策略实现鲁棒分组：</w:t>
      </w:r>
    </w:p>
    <w:p w14:paraId="0088EDA3">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阶段一（主分组）：以候选点作为种子，计算其相对全局中心的向量，将该向量旋转 90°/180°/270° 得到三处预测位置，在剩余候选中寻找与预测位置最接近且面积差满足约束的匹配点，形成四元组。</w:t>
      </w:r>
    </w:p>
    <w:p w14:paraId="1A7EBAFB">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阶段二（兜底分组）：对未分配候选，在联合特征空间（相对面积差、相对半径差、相位项 theta mod 90°）中执行近邻补组，以提高完整分组率。</w:t>
      </w:r>
    </w:p>
    <w:p w14:paraId="2D2C230C">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输出分组数量上限设为 25 组，并按组平均半径由外向内排序，增强结果可解释性。</w:t>
      </w:r>
    </w:p>
    <w:p w14:paraId="3C12AEB7">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6中心最小组判定策略</w:t>
      </w:r>
    </w:p>
    <w:p w14:paraId="620613E9">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对每一组 g 计算得分 S_g = 0.85*mean(radius_g) + 0.15*mean(area_g)。得分最小的组被定义为“中心最小组”（CENTER_MIN_GROUP），与靶标结构中中心组通常最小的先验一致。</w:t>
      </w:r>
    </w:p>
    <w:p w14:paraId="22CD788A">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7结果可视化与诊断输出</w:t>
      </w:r>
    </w:p>
    <w:p w14:paraId="12BB5330">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为便于工程验证与论文展示，算法输出两类可视化结果：</w:t>
      </w:r>
    </w:p>
    <w:p w14:paraId="670179B2">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（1）最终结果图：红框标注矩形、Gxx-Ry 标注组号与组内顺序、黄色框标注中心最小组。</w:t>
      </w:r>
    </w:p>
    <w:p w14:paraId="62C08C17">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（2）2×2 总览图：原图 / 掩膜图 / 候选矩形图 / 最终分组图。</w:t>
      </w:r>
    </w:p>
    <w:p w14:paraId="223AB6FB">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该总览图可快速判断误差来源属于“分割不足”“候选筛选过严”或“分组匹配误差”。</w:t>
      </w:r>
    </w:p>
    <w:p w14:paraId="4E75B300">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8关键参数设置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CA0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205A353">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参数</w:t>
            </w:r>
          </w:p>
        </w:tc>
        <w:tc>
          <w:tcPr>
            <w:tcW w:w="2880" w:type="dxa"/>
          </w:tcPr>
          <w:p w14:paraId="486B88BF">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当前取值</w:t>
            </w:r>
          </w:p>
        </w:tc>
        <w:tc>
          <w:tcPr>
            <w:tcW w:w="2880" w:type="dxa"/>
          </w:tcPr>
          <w:p w14:paraId="79B639F9">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作用说明</w:t>
            </w:r>
          </w:p>
        </w:tc>
      </w:tr>
      <w:tr w14:paraId="0D64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A537A0">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min_area</w:t>
            </w:r>
          </w:p>
        </w:tc>
        <w:tc>
          <w:tcPr>
            <w:tcW w:w="2880" w:type="dxa"/>
          </w:tcPr>
          <w:p w14:paraId="314A62BF">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180</w:t>
            </w:r>
          </w:p>
        </w:tc>
        <w:tc>
          <w:tcPr>
            <w:tcW w:w="2880" w:type="dxa"/>
          </w:tcPr>
          <w:p w14:paraId="0DA85220">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候选矩形最小轮廓面积阈值</w:t>
            </w:r>
          </w:p>
        </w:tc>
      </w:tr>
      <w:tr w14:paraId="07C3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3284CB">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max_area</w:t>
            </w:r>
          </w:p>
        </w:tc>
        <w:tc>
          <w:tcPr>
            <w:tcW w:w="2880" w:type="dxa"/>
          </w:tcPr>
          <w:p w14:paraId="5FED5A62">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1800</w:t>
            </w:r>
          </w:p>
        </w:tc>
        <w:tc>
          <w:tcPr>
            <w:tcW w:w="2880" w:type="dxa"/>
          </w:tcPr>
          <w:p w14:paraId="4FFE9310">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候选矩形最大轮廓面积阈值</w:t>
            </w:r>
          </w:p>
        </w:tc>
      </w:tr>
      <w:tr w14:paraId="7AD3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4BB7F3">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max_aspect_ratio</w:t>
            </w:r>
          </w:p>
        </w:tc>
        <w:tc>
          <w:tcPr>
            <w:tcW w:w="2880" w:type="dxa"/>
          </w:tcPr>
          <w:p w14:paraId="5A0F1AEE">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1.9</w:t>
            </w:r>
          </w:p>
        </w:tc>
        <w:tc>
          <w:tcPr>
            <w:tcW w:w="2880" w:type="dxa"/>
          </w:tcPr>
          <w:p w14:paraId="388846B2">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候选矩形长宽比上限</w:t>
            </w:r>
          </w:p>
        </w:tc>
      </w:tr>
      <w:tr w14:paraId="47EB5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A3AD17">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max_position_error</w:t>
            </w:r>
          </w:p>
        </w:tc>
        <w:tc>
          <w:tcPr>
            <w:tcW w:w="2880" w:type="dxa"/>
          </w:tcPr>
          <w:p w14:paraId="38957FFD">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30 px</w:t>
            </w:r>
          </w:p>
        </w:tc>
        <w:tc>
          <w:tcPr>
            <w:tcW w:w="2880" w:type="dxa"/>
          </w:tcPr>
          <w:p w14:paraId="05BA66CE">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四元组旋转预测时的最大位置误差</w:t>
            </w:r>
          </w:p>
        </w:tc>
      </w:tr>
      <w:tr w14:paraId="1F6A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7FAB52">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max_rel_area_diff</w:t>
            </w:r>
          </w:p>
        </w:tc>
        <w:tc>
          <w:tcPr>
            <w:tcW w:w="2880" w:type="dxa"/>
          </w:tcPr>
          <w:p w14:paraId="0E8AE9C0">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0.60</w:t>
            </w:r>
          </w:p>
        </w:tc>
        <w:tc>
          <w:tcPr>
            <w:tcW w:w="2880" w:type="dxa"/>
          </w:tcPr>
          <w:p w14:paraId="0E39E813">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同组矩形相对面积差上限</w:t>
            </w:r>
          </w:p>
        </w:tc>
      </w:tr>
      <w:tr w14:paraId="309E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576747">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target_group_count</w:t>
            </w:r>
          </w:p>
        </w:tc>
        <w:tc>
          <w:tcPr>
            <w:tcW w:w="2880" w:type="dxa"/>
          </w:tcPr>
          <w:p w14:paraId="08949E85">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25</w:t>
            </w:r>
          </w:p>
        </w:tc>
        <w:tc>
          <w:tcPr>
            <w:tcW w:w="2880" w:type="dxa"/>
          </w:tcPr>
          <w:p w14:paraId="1F454473">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目标分组数（每组4个）</w:t>
            </w:r>
          </w:p>
        </w:tc>
      </w:tr>
    </w:tbl>
    <w:p w14:paraId="5167802C">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9方法特点与适用边界</w:t>
      </w:r>
    </w:p>
    <w:p w14:paraId="2A8C3291">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本方法具有如下特点：（1）不依赖固定颜色阈值，适应光照引起的颜色漂移；（2）利用旋转几何先验，能稳定构建四元组；（3）支持可视化诊断，便于参数迭代。其主要失效场景包括：严重模糊、遮挡、极端透视形变或靶标结构缺失。</w:t>
      </w:r>
    </w:p>
    <w:p w14:paraId="29935E45">
      <w:pPr>
        <w:pStyle w:val="4"/>
        <w:pageBreakBefore w:val="0"/>
        <w:widowControl/>
        <w:kinsoku/>
        <w:wordWrap/>
        <w:overflowPunct/>
        <w:topLinePunct w:val="0"/>
        <w:autoSpaceDE/>
        <w:autoSpaceDN/>
        <w:bidi w:val="0"/>
        <w:adjustRightInd/>
        <w:snapToGrid/>
        <w:spacing w:before="0" w:after="0" w:line="400" w:lineRule="exact"/>
        <w:textAlignment w:val="auto"/>
        <w:rPr>
          <w:rFonts w:ascii="Times New Roman" w:hAnsi="Times New Roman" w:eastAsia="宋体"/>
          <w:b/>
          <w:bCs/>
        </w:rPr>
      </w:pPr>
      <w:r>
        <w:rPr>
          <w:rFonts w:ascii="Times New Roman" w:hAnsi="Times New Roman" w:eastAsia="宋体"/>
          <w:b/>
          <w:bCs/>
        </w:rPr>
        <w:t>10</w:t>
      </w:r>
      <w:bookmarkStart w:id="0" w:name="_GoBack"/>
      <w:bookmarkEnd w:id="0"/>
      <w:r>
        <w:rPr>
          <w:rFonts w:ascii="Times New Roman" w:hAnsi="Times New Roman" w:eastAsia="宋体"/>
          <w:b/>
          <w:bCs/>
        </w:rPr>
        <w:t>可复现性说明</w:t>
      </w:r>
    </w:p>
    <w:p w14:paraId="74A4D04B">
      <w:pPr>
        <w:pageBreakBefore w:val="0"/>
        <w:widowControl/>
        <w:kinsoku/>
        <w:wordWrap/>
        <w:overflowPunct/>
        <w:topLinePunct w:val="0"/>
        <w:autoSpaceDE/>
        <w:autoSpaceDN/>
        <w:bidi w:val="0"/>
        <w:adjustRightInd/>
        <w:snapToGrid/>
        <w:spacing w:after="0" w:line="400" w:lineRule="exact"/>
        <w:textAlignment w:val="auto"/>
        <w:rPr>
          <w:rFonts w:ascii="Times New Roman" w:hAnsi="Times New Roman" w:eastAsia="宋体"/>
          <w:b w:val="0"/>
          <w:sz w:val="24"/>
        </w:rPr>
      </w:pPr>
      <w:r>
        <w:rPr>
          <w:rFonts w:ascii="Times New Roman" w:hAnsi="Times New Roman" w:eastAsia="宋体"/>
          <w:b w:val="0"/>
          <w:sz w:val="24"/>
        </w:rPr>
        <w:t>本文档所述方法与 `MRC.py` 当前实现一致（与 `MRC_adaptive.py` 同步）。若后续调整参数或分组策略，应同步更新方法文档，以保证论文描述与代码实现一致。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E62C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1326</Words>
  <Characters>1623</Characters>
  <Lines>0</Lines>
  <Paragraphs>0</Paragraphs>
  <TotalTime>9</TotalTime>
  <ScaleCrop>false</ScaleCrop>
  <LinksUpToDate>false</LinksUpToDate>
  <CharactersWithSpaces>1698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笑着再见~GOAT</cp:lastModifiedBy>
  <dcterms:modified xsi:type="dcterms:W3CDTF">2026-03-10T09:15:34Z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eyJoZGlkIjoiOGU0MWE4MzE3MWI3ZWIwZjVhYjE2N2VlYjM1YTUwNzAiLCJ1c2VySWQiOiI0NjcwNzcyNTYifQ==</vt:lpwstr>
  </property>
  <property fmtid="{D5CDD505-2E9C-101B-9397-08002B2CF9AE}" pid="3" name="KSOProductBuildVer">
    <vt:lpwstr>2052-12.1.0.23542</vt:lpwstr>
  </property>
  <property fmtid="{D5CDD505-2E9C-101B-9397-08002B2CF9AE}" pid="4" name="ICV">
    <vt:lpwstr>56A381D9C8A04C1A9D0E68EFF3C11EC3_12</vt:lpwstr>
  </property>
</Properties>
</file>