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Methods for Adaptive MRC Rectangle Grouping</w:t>
      </w:r>
    </w:p>
    <w:p>
      <w:r>
        <w:t>This document describes the implemented processing pipeline for MRC target analysis in the project script `MRC.py`. The writing style follows standard SCI manuscript organization for the Methods section.</w:t>
      </w:r>
    </w:p>
    <w:p>
      <w:r>
        <w:t>Generated on: 2026-03-10 17:02:44</w:t>
      </w:r>
    </w:p>
    <w:p>
      <w:pPr>
        <w:pStyle w:val="Heading1"/>
      </w:pPr>
      <w:r>
        <w:t>1. Problem Definition</w:t>
      </w:r>
    </w:p>
    <w:p>
      <w:r>
        <w:t>Given one MRC image containing repeated small rectangular pattern blocks, the objective is to: (i) detect all valid rectangle blocks, (ii) group blocks into quadruples formed by rotational symmetry, (iii) output 25 groups (100 rectangles) whenever possible, and (iv) highlight the central and typically smallest group as a special marker.</w:t>
      </w:r>
    </w:p>
    <w:p>
      <w:pPr>
        <w:pStyle w:val="Heading1"/>
      </w:pPr>
      <w:r>
        <w:t>2. Color-Invariant Candidate Segmentation</w:t>
      </w:r>
    </w:p>
    <w:p>
      <w:r>
        <w:t>To improve robustness against illumination-dependent color shifts (e.g., orange, green, or other hues), the detector avoids fixed hue thresholds and uses a color-invariant chroma measure in CIELAB space.</w:t>
      </w:r>
    </w:p>
    <w:p>
      <w:r>
        <w:t>2.1 LAB chroma feature: for each pixel, chroma magnitude is computed as C = sqrt((a-128)^2 + (b-128)^2). This captures color saturation independent of specific hue direction.</w:t>
      </w:r>
    </w:p>
    <w:p>
      <w:r>
        <w:t>2.2 Otsu binarization on chroma: the normalized chroma map is segmented by Otsu thresholding to form a foreground mask of potential target regions.</w:t>
      </w:r>
    </w:p>
    <w:p>
      <w:r>
        <w:t>2.3 Structural fallback branch: a grayscale branch uses CLAHE contrast enhancement and top-hat transform, followed by adaptive Gaussian thresholding. When chroma foreground is weak, the final mask is defined as the union of chroma mask and grayscale mask.</w:t>
      </w:r>
    </w:p>
    <w:p>
      <w:r>
        <w:t>2.4 Morphological refinement: a 3x3 elliptical closing operator removes minor holes and fragmentation.</w:t>
      </w:r>
    </w:p>
    <w:p>
      <w:pPr>
        <w:pStyle w:val="Heading1"/>
      </w:pPr>
      <w:r>
        <w:t>3. Rectangle Candidate Extraction</w:t>
      </w:r>
    </w:p>
    <w:p>
      <w:r>
        <w:t>Contours are extracted from the refined binary mask and filtered by geometric constraints derived from target priors.</w:t>
      </w:r>
    </w:p>
    <w:p>
      <w:r>
        <w:t>For each contour, a minimum-area rectangle and axis-aligned bounding rectangle are computed. A candidate is retained only if its area and aspect ratio satisfy predefined limits.</w:t>
      </w:r>
    </w:p>
    <w:p>
      <w:r>
        <w:t>When candidate count is excessive (&gt;120), a quality score is used for pruning: Q = |A - median(A)|/median(A) + 0.7*(aspect-1), where A is candidate area. Lower Q indicates better consistency with canonical target blocks.</w:t>
      </w:r>
    </w:p>
    <w:p>
      <w:pPr>
        <w:pStyle w:val="Heading1"/>
      </w:pPr>
      <w:r>
        <w:t>4. Geometric Feature Construction</w:t>
      </w:r>
    </w:p>
    <w:p>
      <w:r>
        <w:t>The global center is estimated by averaging all candidate centroids. Each candidate i is converted into polar descriptors relative to this center: radius r_i and angle theta_i.</w:t>
      </w:r>
    </w:p>
    <w:p>
      <w:r>
        <w:t>These descriptors support rotational symmetry grouping under perspective and illumination perturbations.</w:t>
      </w:r>
    </w:p>
    <w:p>
      <w:pPr>
        <w:pStyle w:val="Heading1"/>
      </w:pPr>
      <w:r>
        <w:t>5. Quadruple Grouping by Rotational Prediction</w:t>
      </w:r>
    </w:p>
    <w:p>
      <w:r>
        <w:t>A two-stage grouping strategy is adopted to maximize stable 4-rectangle groups.</w:t>
      </w:r>
    </w:p>
    <w:p>
      <w:r>
        <w:t>Stage 1 (primary): For each seed candidate, the vector from global center to seed is rotated by 90 deg, 180 deg, and 270 deg. Nearest valid candidates around predicted positions are selected under constraints of spatial error and relative area difference.</w:t>
      </w:r>
    </w:p>
    <w:p>
      <w:r>
        <w:t>Stage 2 (fallback): If ungrouped candidates remain, nearest-neighbor matching is performed in a hybrid feature space combining relative area, relative radius, and phase term (theta mod 90 deg).</w:t>
      </w:r>
    </w:p>
    <w:p>
      <w:r>
        <w:t>The final group count is capped at 25. Groups are ordered from outer to inner by mean radius.</w:t>
      </w:r>
    </w:p>
    <w:p>
      <w:pPr>
        <w:pStyle w:val="Heading1"/>
      </w:pPr>
      <w:r>
        <w:t>6. Central-Minimum Group Identification</w:t>
      </w:r>
    </w:p>
    <w:p>
      <w:r>
        <w:t>For each group g, a score is computed as: S_g = 0.85*mean(radius_g) + 0.15*mean(area_g). The group with minimal score is labeled as CENTER_MIN_GROUP, matching the prior that the central group is usually smallest.</w:t>
      </w:r>
    </w:p>
    <w:p>
      <w:pPr>
        <w:pStyle w:val="Heading1"/>
      </w:pPr>
      <w:r>
        <w:t>7. Visualization and Output</w:t>
      </w:r>
    </w:p>
    <w:p>
      <w:r>
        <w:t>The implementation exports both analytical and diagnostic visualization outputs:</w:t>
      </w:r>
    </w:p>
    <w:p>
      <w:r>
        <w:t>- Final detection image: red rectangles, group/order labels (Gxx-Ry), and yellow center-group marker.</w:t>
      </w:r>
    </w:p>
    <w:p>
      <w:r>
        <w:t>- 2x2 panel image: Original / Binary mask / Candidate rectangles / Final grouped result.</w:t>
      </w:r>
    </w:p>
    <w:p>
      <w:r>
        <w:t>This multi-view visualization allows users to diagnose whether failures originate from segmentation, candidate filtering, or grouping.</w:t>
      </w:r>
    </w:p>
    <w:p>
      <w:pPr>
        <w:pStyle w:val="Heading1"/>
      </w:pPr>
      <w:r>
        <w:t>8. Hyperparameters Used in Current Implementation</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Role</w:t>
            </w:r>
          </w:p>
        </w:tc>
      </w:tr>
      <w:tr>
        <w:tc>
          <w:tcPr>
            <w:tcW w:type="dxa" w:w="2880"/>
          </w:tcPr>
          <w:p>
            <w:r>
              <w:t>min_area</w:t>
            </w:r>
          </w:p>
        </w:tc>
        <w:tc>
          <w:tcPr>
            <w:tcW w:type="dxa" w:w="2880"/>
          </w:tcPr>
          <w:p>
            <w:r>
              <w:t>180</w:t>
            </w:r>
          </w:p>
        </w:tc>
        <w:tc>
          <w:tcPr>
            <w:tcW w:type="dxa" w:w="2880"/>
          </w:tcPr>
          <w:p>
            <w:r>
              <w:t>Minimum contour area for target rectangle candidate</w:t>
            </w:r>
          </w:p>
        </w:tc>
      </w:tr>
      <w:tr>
        <w:tc>
          <w:tcPr>
            <w:tcW w:type="dxa" w:w="2880"/>
          </w:tcPr>
          <w:p>
            <w:r>
              <w:t>max_area</w:t>
            </w:r>
          </w:p>
        </w:tc>
        <w:tc>
          <w:tcPr>
            <w:tcW w:type="dxa" w:w="2880"/>
          </w:tcPr>
          <w:p>
            <w:r>
              <w:t>1800</w:t>
            </w:r>
          </w:p>
        </w:tc>
        <w:tc>
          <w:tcPr>
            <w:tcW w:type="dxa" w:w="2880"/>
          </w:tcPr>
          <w:p>
            <w:r>
              <w:t>Maximum contour area for candidate filtering</w:t>
            </w:r>
          </w:p>
        </w:tc>
      </w:tr>
      <w:tr>
        <w:tc>
          <w:tcPr>
            <w:tcW w:type="dxa" w:w="2880"/>
          </w:tcPr>
          <w:p>
            <w:r>
              <w:t>max_aspect_ratio</w:t>
            </w:r>
          </w:p>
        </w:tc>
        <w:tc>
          <w:tcPr>
            <w:tcW w:type="dxa" w:w="2880"/>
          </w:tcPr>
          <w:p>
            <w:r>
              <w:t>1.9</w:t>
            </w:r>
          </w:p>
        </w:tc>
        <w:tc>
          <w:tcPr>
            <w:tcW w:type="dxa" w:w="2880"/>
          </w:tcPr>
          <w:p>
            <w:r>
              <w:t>Upper bound of width-height ratio</w:t>
            </w:r>
          </w:p>
        </w:tc>
      </w:tr>
      <w:tr>
        <w:tc>
          <w:tcPr>
            <w:tcW w:type="dxa" w:w="2880"/>
          </w:tcPr>
          <w:p>
            <w:r>
              <w:t>max_position_error</w:t>
            </w:r>
          </w:p>
        </w:tc>
        <w:tc>
          <w:tcPr>
            <w:tcW w:type="dxa" w:w="2880"/>
          </w:tcPr>
          <w:p>
            <w:r>
              <w:t>30 px</w:t>
            </w:r>
          </w:p>
        </w:tc>
        <w:tc>
          <w:tcPr>
            <w:tcW w:type="dxa" w:w="2880"/>
          </w:tcPr>
          <w:p>
            <w:r>
              <w:t>Max spatial deviation in 90-degree rotation prediction</w:t>
            </w:r>
          </w:p>
        </w:tc>
      </w:tr>
      <w:tr>
        <w:tc>
          <w:tcPr>
            <w:tcW w:type="dxa" w:w="2880"/>
          </w:tcPr>
          <w:p>
            <w:r>
              <w:t>max_rel_area_diff</w:t>
            </w:r>
          </w:p>
        </w:tc>
        <w:tc>
          <w:tcPr>
            <w:tcW w:type="dxa" w:w="2880"/>
          </w:tcPr>
          <w:p>
            <w:r>
              <w:t>0.60</w:t>
            </w:r>
          </w:p>
        </w:tc>
        <w:tc>
          <w:tcPr>
            <w:tcW w:type="dxa" w:w="2880"/>
          </w:tcPr>
          <w:p>
            <w:r>
              <w:t>Max relative area mismatch inside a 4-rectangle group</w:t>
            </w:r>
          </w:p>
        </w:tc>
      </w:tr>
      <w:tr>
        <w:tc>
          <w:tcPr>
            <w:tcW w:type="dxa" w:w="2880"/>
          </w:tcPr>
          <w:p>
            <w:r>
              <w:t>target_group_count</w:t>
            </w:r>
          </w:p>
        </w:tc>
        <w:tc>
          <w:tcPr>
            <w:tcW w:type="dxa" w:w="2880"/>
          </w:tcPr>
          <w:p>
            <w:r>
              <w:t>25</w:t>
            </w:r>
          </w:p>
        </w:tc>
        <w:tc>
          <w:tcPr>
            <w:tcW w:type="dxa" w:w="2880"/>
          </w:tcPr>
          <w:p>
            <w:r>
              <w:t>Target number of quadruple groups</w:t>
            </w:r>
          </w:p>
        </w:tc>
      </w:tr>
    </w:tbl>
    <w:p>
      <w:pPr>
        <w:pStyle w:val="Heading1"/>
      </w:pPr>
      <w:r>
        <w:t>9. Computational Characteristics and Robustness</w:t>
      </w:r>
    </w:p>
    <w:p>
      <w:r>
        <w:t>The pipeline is contour-based and efficient for single-image analysis. Its robustness is primarily derived from color-invariant segmentation and geometric rotational priors. Residual errors generally occur under severe blur, heavy occlusion, or nonrigid distortions that break the 90-degree rotational assumption.</w:t>
      </w:r>
    </w:p>
    <w:p>
      <w:pPr>
        <w:pStyle w:val="Heading1"/>
      </w:pPr>
      <w:r>
        <w:t>10. Reproducibility Note</w:t>
      </w:r>
    </w:p>
    <w:p>
      <w:r>
        <w:t>This document reflects the algorithm currently implemented in `MRC.py` (same core as `MRC_adaptive.py`). Any parameter updates should be synchronized in both code and method documentation for reproducible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