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FC568" w14:textId="77777777" w:rsidR="00D24757" w:rsidRDefault="00800425">
      <w:pPr>
        <w:spacing w:before="1400"/>
        <w:jc w:val="center"/>
      </w:pPr>
      <w:r>
        <w:rPr>
          <w:b/>
          <w:bCs/>
          <w:color w:val="1F3864"/>
          <w:sz w:val="48"/>
          <w:szCs w:val="48"/>
        </w:rPr>
        <w:t>TECHNOLOGY RELIABILITY RISK</w:t>
      </w:r>
    </w:p>
    <w:p w14:paraId="4D550FFB" w14:textId="77777777" w:rsidR="00D24757" w:rsidRDefault="00800425">
      <w:pPr>
        <w:pBdr>
          <w:bottom w:val="single" w:sz="10" w:space="8" w:color="2E75B6"/>
        </w:pBdr>
        <w:spacing w:before="120"/>
        <w:jc w:val="center"/>
      </w:pPr>
      <w:r>
        <w:rPr>
          <w:color w:val="2E4B7A"/>
          <w:sz w:val="24"/>
          <w:szCs w:val="24"/>
        </w:rPr>
        <w:t>Core Risk and Problem Statement, SWOT Linkage, Indicators, Thresholds and Controls</w:t>
      </w:r>
    </w:p>
    <w:p w14:paraId="7D38CA97" w14:textId="77777777" w:rsidR="000179FF" w:rsidRDefault="000179FF">
      <w:pPr>
        <w:spacing w:before="60"/>
        <w:jc w:val="center"/>
        <w:rPr>
          <w:color w:val="5A5A5A"/>
        </w:rPr>
      </w:pPr>
    </w:p>
    <w:p w14:paraId="32C234A4" w14:textId="77777777" w:rsidR="000179FF" w:rsidRDefault="000179FF">
      <w:pPr>
        <w:spacing w:before="60"/>
        <w:jc w:val="center"/>
        <w:rPr>
          <w:color w:val="5A5A5A"/>
        </w:rPr>
      </w:pPr>
    </w:p>
    <w:p w14:paraId="37613884" w14:textId="06C0EFF5" w:rsidR="000179FF" w:rsidRDefault="000179FF">
      <w:pPr>
        <w:spacing w:before="60"/>
        <w:jc w:val="center"/>
        <w:rPr>
          <w:color w:val="5A5A5A"/>
        </w:rPr>
      </w:pPr>
      <w:r w:rsidRPr="000179FF">
        <w:rPr>
          <w:color w:val="5A5A5A"/>
        </w:rPr>
        <w:t xml:space="preserve">ALY6130: Risk Management for Analytics </w:t>
      </w:r>
    </w:p>
    <w:p w14:paraId="7A26D5DC" w14:textId="4D1389C8" w:rsidR="000179FF" w:rsidRDefault="000179FF" w:rsidP="000179FF">
      <w:pPr>
        <w:spacing w:before="60"/>
        <w:jc w:val="center"/>
        <w:rPr>
          <w:color w:val="5A5A5A"/>
        </w:rPr>
      </w:pPr>
      <w:r>
        <w:rPr>
          <w:color w:val="5A5A5A"/>
        </w:rPr>
        <w:t xml:space="preserve">Student Name: </w:t>
      </w:r>
      <w:r w:rsidRPr="000179FF">
        <w:rPr>
          <w:color w:val="5A5A5A"/>
        </w:rPr>
        <w:t>Musa Oseni Oyakhire</w:t>
      </w:r>
    </w:p>
    <w:p w14:paraId="25CC5CFE" w14:textId="7FC7A1B8" w:rsidR="000179FF" w:rsidRDefault="000179FF" w:rsidP="000179FF">
      <w:pPr>
        <w:spacing w:before="60"/>
        <w:jc w:val="center"/>
        <w:rPr>
          <w:color w:val="5A5A5A"/>
        </w:rPr>
      </w:pPr>
      <w:r w:rsidRPr="000179FF">
        <w:rPr>
          <w:color w:val="5A5A5A"/>
        </w:rPr>
        <w:t>Master of Professional Studies in Analytics, Northeastern University</w:t>
      </w:r>
    </w:p>
    <w:p w14:paraId="7F348F13" w14:textId="77777777" w:rsidR="000179FF" w:rsidRDefault="00800425" w:rsidP="000179FF">
      <w:pPr>
        <w:spacing w:before="60"/>
        <w:jc w:val="center"/>
        <w:rPr>
          <w:color w:val="5A5A5A"/>
          <w:sz w:val="20"/>
          <w:szCs w:val="20"/>
        </w:rPr>
      </w:pPr>
      <w:r>
        <w:rPr>
          <w:color w:val="5A5A5A"/>
          <w:sz w:val="20"/>
          <w:szCs w:val="20"/>
        </w:rPr>
        <w:t xml:space="preserve">June 2026  </w:t>
      </w:r>
    </w:p>
    <w:p w14:paraId="536C2BC7" w14:textId="77777777" w:rsidR="000179FF" w:rsidRDefault="000179FF" w:rsidP="000179FF">
      <w:pPr>
        <w:spacing w:before="60"/>
        <w:jc w:val="center"/>
        <w:rPr>
          <w:color w:val="5A5A5A"/>
          <w:sz w:val="20"/>
          <w:szCs w:val="20"/>
        </w:rPr>
      </w:pPr>
    </w:p>
    <w:p w14:paraId="4122F960" w14:textId="77777777" w:rsidR="000179FF" w:rsidRDefault="000179FF" w:rsidP="000179FF">
      <w:pPr>
        <w:spacing w:before="60"/>
        <w:jc w:val="center"/>
        <w:rPr>
          <w:color w:val="5A5A5A"/>
          <w:sz w:val="20"/>
          <w:szCs w:val="20"/>
        </w:rPr>
      </w:pPr>
    </w:p>
    <w:p w14:paraId="10264027" w14:textId="090AD25A" w:rsidR="00D24757" w:rsidRDefault="00800425" w:rsidP="000179FF">
      <w:pPr>
        <w:spacing w:before="60"/>
        <w:jc w:val="center"/>
      </w:pPr>
      <w:r>
        <w:rPr>
          <w:noProof/>
        </w:rPr>
        <w:drawing>
          <wp:inline distT="0" distB="0" distL="0" distR="0" wp14:anchorId="769FD70E" wp14:editId="6D0A1E68">
            <wp:extent cx="4476750" cy="2981325"/>
            <wp:effectExtent l="0" t="0" r="0" b="0"/>
            <wp:docPr id="1" name="SWOT" descr="SWOT matrix" title="SW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476750" cy="2981325"/>
                    </a:xfrm>
                    <a:prstGeom prst="rect">
                      <a:avLst/>
                    </a:prstGeom>
                  </pic:spPr>
                </pic:pic>
              </a:graphicData>
            </a:graphic>
          </wp:inline>
        </w:drawing>
      </w:r>
    </w:p>
    <w:p w14:paraId="2677E007" w14:textId="77777777" w:rsidR="00D24757" w:rsidRDefault="00800425">
      <w:r>
        <w:br w:type="page"/>
      </w:r>
    </w:p>
    <w:p w14:paraId="10AB6BE9" w14:textId="1B5793AD" w:rsidR="007F4BB2" w:rsidRDefault="00800425">
      <w:pPr>
        <w:pStyle w:val="Heading1"/>
      </w:pPr>
      <w:bookmarkStart w:id="0" w:name="_Toc231294571"/>
      <w:r>
        <w:t>Contents</w:t>
      </w:r>
      <w:bookmarkEnd w:id="0"/>
    </w:p>
    <w:sdt>
      <w:sdtPr>
        <w:alias w:val="Contents"/>
        <w:id w:val="861167581"/>
      </w:sdtPr>
      <w:sdtEndPr/>
      <w:sdtContent>
        <w:p w14:paraId="02D12E4F" w14:textId="4331DE49" w:rsidR="007F4BB2" w:rsidRDefault="007F4BB2" w:rsidP="004E4AD0">
          <w:pPr>
            <w:pStyle w:val="TOC1"/>
            <w:tabs>
              <w:tab w:val="right" w:leader="dot" w:pos="9350"/>
            </w:tabs>
            <w:spacing w:line="360" w:lineRule="auto"/>
          </w:pPr>
          <w:r w:rsidRPr="007F4BB2">
            <w:t>Contents</w:t>
          </w:r>
          <w:r w:rsidRPr="007F4BB2">
            <w:tab/>
          </w:r>
          <w:r>
            <w:t>2</w:t>
          </w:r>
        </w:p>
        <w:p w14:paraId="6A9880EC" w14:textId="323E26EC" w:rsidR="004E4AD0" w:rsidRDefault="007F4BB2" w:rsidP="004E4AD0">
          <w:pPr>
            <w:pStyle w:val="TOC1"/>
            <w:tabs>
              <w:tab w:val="right" w:leader="dot" w:pos="9350"/>
            </w:tabs>
            <w:spacing w:line="360" w:lineRule="auto"/>
          </w:pPr>
          <w:r w:rsidRPr="007F4BB2">
            <w:t>1. Executive Summary</w:t>
          </w:r>
          <w:r w:rsidRPr="007F4BB2">
            <w:tab/>
          </w:r>
          <w:r w:rsidR="004E4AD0">
            <w:t>3</w:t>
          </w:r>
        </w:p>
        <w:p w14:paraId="3A09D252" w14:textId="4EF8F49F" w:rsidR="00421FED" w:rsidRPr="00421FED" w:rsidRDefault="00421FED" w:rsidP="004E4AD0">
          <w:pPr>
            <w:pStyle w:val="TOC1"/>
            <w:tabs>
              <w:tab w:val="right" w:leader="dot" w:pos="9350"/>
            </w:tabs>
            <w:spacing w:line="360" w:lineRule="auto"/>
          </w:pPr>
          <w:r w:rsidRPr="00421FED">
            <w:t>2. Core Risk Statemen</w:t>
          </w:r>
          <w:r>
            <w:t>t…………………………………………………………………………………..</w:t>
          </w:r>
          <w:r w:rsidR="004E4AD0">
            <w:t>3</w:t>
          </w:r>
        </w:p>
        <w:p w14:paraId="333DC8BF" w14:textId="77B3B7C4" w:rsidR="00421FED" w:rsidRPr="00421FED" w:rsidRDefault="00421FED" w:rsidP="004E4AD0">
          <w:pPr>
            <w:spacing w:line="360" w:lineRule="auto"/>
          </w:pPr>
          <w:r w:rsidRPr="00421FED">
            <w:t>3. Problem Statement</w:t>
          </w:r>
          <w:r>
            <w:t>…………………………………………………………………………</w:t>
          </w:r>
          <w:r w:rsidR="004E4AD0">
            <w:t>..</w:t>
          </w:r>
          <w:r>
            <w:t>………..</w:t>
          </w:r>
          <w:r w:rsidR="004E4AD0">
            <w:t>3</w:t>
          </w:r>
        </w:p>
        <w:p w14:paraId="28049B96" w14:textId="7726D5A5" w:rsidR="00421FED" w:rsidRDefault="00421FED" w:rsidP="004E4AD0">
          <w:pPr>
            <w:spacing w:line="360" w:lineRule="auto"/>
          </w:pPr>
          <w:r w:rsidRPr="00421FED">
            <w:t>4. Risk Type Classificatio</w:t>
          </w:r>
          <w:r>
            <w:t>n………………………………………………………………………………</w:t>
          </w:r>
          <w:r w:rsidR="004E4AD0">
            <w:t>4</w:t>
          </w:r>
        </w:p>
        <w:p w14:paraId="2CCB014E" w14:textId="34EA5873" w:rsidR="00421FED" w:rsidRDefault="00421FED" w:rsidP="004E4AD0">
          <w:pPr>
            <w:spacing w:line="360" w:lineRule="auto"/>
          </w:pPr>
          <w:r>
            <w:t>5. SWOT Analysis and Connection Summary………………………………………………………</w:t>
          </w:r>
          <w:r w:rsidR="008D0AFD">
            <w:t>.</w:t>
          </w:r>
          <w:r>
            <w:t>..</w:t>
          </w:r>
          <w:r w:rsidR="008D0AFD">
            <w:t>5</w:t>
          </w:r>
        </w:p>
        <w:p w14:paraId="02FDE8C1" w14:textId="17E85CDB" w:rsidR="00421FED" w:rsidRDefault="00421FED" w:rsidP="004E4AD0">
          <w:pPr>
            <w:spacing w:line="360" w:lineRule="auto"/>
          </w:pPr>
          <w:r>
            <w:t>Connection summary……………………………………………………………………………………</w:t>
          </w:r>
          <w:r w:rsidR="008D0AFD">
            <w:t>.5</w:t>
          </w:r>
        </w:p>
        <w:p w14:paraId="61D6D84D" w14:textId="76D03AF2" w:rsidR="00421FED" w:rsidRDefault="00421FED" w:rsidP="004E4AD0">
          <w:pPr>
            <w:spacing w:line="360" w:lineRule="auto"/>
          </w:pPr>
          <w:r>
            <w:t>6. Key Risk Indicators…………………………………………………………………………………</w:t>
          </w:r>
          <w:r w:rsidR="00D87755">
            <w:t>.</w:t>
          </w:r>
          <w:r>
            <w:t>…</w:t>
          </w:r>
          <w:r w:rsidR="008D0AFD">
            <w:t>5</w:t>
          </w:r>
        </w:p>
        <w:p w14:paraId="0A34F7EA" w14:textId="334145F7" w:rsidR="00421FED" w:rsidRDefault="00421FED" w:rsidP="004E4AD0">
          <w:pPr>
            <w:spacing w:line="360" w:lineRule="auto"/>
          </w:pPr>
          <w:r>
            <w:t>7. Traffic Light Thresholds</w:t>
          </w:r>
          <w:r w:rsidR="00AC0C6C">
            <w:t>……………………………………………………………………………</w:t>
          </w:r>
          <w:r w:rsidR="008D0AFD">
            <w:t>.</w:t>
          </w:r>
          <w:r w:rsidR="00AC0C6C">
            <w:t>…</w:t>
          </w:r>
          <w:r w:rsidR="008D0AFD">
            <w:t>7</w:t>
          </w:r>
        </w:p>
        <w:p w14:paraId="2D1792BE" w14:textId="12C9F6B7" w:rsidR="00421FED" w:rsidRDefault="00421FED" w:rsidP="004E4AD0">
          <w:pPr>
            <w:spacing w:line="360" w:lineRule="auto"/>
          </w:pPr>
          <w:r>
            <w:t>8. Controls</w:t>
          </w:r>
          <w:r w:rsidR="00AC0C6C">
            <w:t>…………………………………………………………………………………………………</w:t>
          </w:r>
          <w:r w:rsidR="008D0AFD">
            <w:t>8</w:t>
          </w:r>
        </w:p>
        <w:p w14:paraId="7C65487B" w14:textId="6108061E" w:rsidR="00421FED" w:rsidRDefault="00421FED" w:rsidP="004E4AD0">
          <w:pPr>
            <w:spacing w:line="360" w:lineRule="auto"/>
          </w:pPr>
          <w:r>
            <w:t>9. Monitoring, Escalation and Reporting</w:t>
          </w:r>
          <w:r w:rsidR="00AC0C6C">
            <w:t>……………………………………………………………….</w:t>
          </w:r>
          <w:r w:rsidR="00D87755">
            <w:t>8</w:t>
          </w:r>
        </w:p>
        <w:p w14:paraId="549A7F22" w14:textId="4C9184F6" w:rsidR="00421FED" w:rsidRDefault="00421FED" w:rsidP="004E4AD0">
          <w:pPr>
            <w:spacing w:line="360" w:lineRule="auto"/>
          </w:pPr>
          <w:r>
            <w:t>10. Conclusion</w:t>
          </w:r>
          <w:r w:rsidR="00AC0C6C">
            <w:t>…………………………………………………………………………………</w:t>
          </w:r>
          <w:r w:rsidR="008D0AFD">
            <w:t>..</w:t>
          </w:r>
          <w:r w:rsidR="00AC0C6C">
            <w:t>………</w:t>
          </w:r>
          <w:r w:rsidR="008D0AFD">
            <w:t>..9</w:t>
          </w:r>
        </w:p>
        <w:p w14:paraId="46D9A85C" w14:textId="55D3B730" w:rsidR="00D24757" w:rsidRDefault="00421FED" w:rsidP="00D87755">
          <w:pPr>
            <w:spacing w:line="360" w:lineRule="auto"/>
          </w:pPr>
          <w:r>
            <w:t>References</w:t>
          </w:r>
          <w:r w:rsidR="00AC0C6C">
            <w:t>……………………………………………………………………………………</w:t>
          </w:r>
          <w:r w:rsidR="004E4AD0">
            <w:t>……….</w:t>
          </w:r>
          <w:r w:rsidR="00D87755">
            <w:t>..</w:t>
          </w:r>
          <w:r w:rsidR="004E4AD0">
            <w:t>.</w:t>
          </w:r>
          <w:r>
            <w:t>1</w:t>
          </w:r>
          <w:r w:rsidR="00D87755">
            <w:t>0</w:t>
          </w:r>
        </w:p>
      </w:sdtContent>
    </w:sdt>
    <w:p w14:paraId="271CB8D3" w14:textId="77777777" w:rsidR="00D24757" w:rsidRDefault="00800425">
      <w:r>
        <w:br w:type="page"/>
      </w:r>
    </w:p>
    <w:p w14:paraId="13EB439B" w14:textId="77777777" w:rsidR="00D24757" w:rsidRDefault="00800425">
      <w:pPr>
        <w:pStyle w:val="Heading1"/>
      </w:pPr>
      <w:bookmarkStart w:id="1" w:name="_Toc231294572"/>
      <w:r>
        <w:t>1. Executive Summary</w:t>
      </w:r>
      <w:bookmarkEnd w:id="1"/>
    </w:p>
    <w:p w14:paraId="438D59B0" w14:textId="77777777" w:rsidR="00D24757" w:rsidRDefault="00800425" w:rsidP="000179FF">
      <w:pPr>
        <w:spacing w:after="140" w:line="276" w:lineRule="auto"/>
        <w:jc w:val="both"/>
      </w:pPr>
      <w:r>
        <w:t>Technology reliability risk is the risk that critical systems, infrastructure and services fail to perform consistently and dependably, leading to outages, degraded performance and the unavailability of data and services on which the business and its customers depend. As the organisation deepens its reliance on complex and interconnected technology, the consequences of unreliable platforms grow in severity, spanning operational disruption, financial loss, regulatory breach and reputational damage.</w:t>
      </w:r>
    </w:p>
    <w:p w14:paraId="20B6A09D" w14:textId="77777777" w:rsidR="00D24757" w:rsidRDefault="00800425" w:rsidP="000179FF">
      <w:pPr>
        <w:spacing w:after="140" w:line="276" w:lineRule="auto"/>
        <w:jc w:val="both"/>
      </w:pPr>
      <w:r>
        <w:t>This assessment sets out the core risk and problem statement, classifies the risk, summarises the connection to the SWOT analysis, and defines the key risk indicators, traffic light thresholds and controls used to manage the exposure. Reliability is treated here as a dimension of operational risk and is aligned with established guidance on the sound management of operational risk and on the disruption and system failure event category (Basel Committee on Banking Supervision, 2011).</w:t>
      </w:r>
    </w:p>
    <w:p w14:paraId="193C5B30" w14:textId="77777777" w:rsidR="00D24757" w:rsidRDefault="00800425" w:rsidP="000179FF">
      <w:pPr>
        <w:spacing w:after="140" w:line="276" w:lineRule="auto"/>
        <w:jc w:val="both"/>
      </w:pPr>
      <w:r>
        <w:t>The overall conclusion is that residual reliability risk is currently elevated. Internal weaknesses such as legacy infrastructure and single points of failure are the primary drivers, while external threats amplify the exposure. The control base is sound but partly reactive, and the highlighted indicators show one red and several amber readings that warrant management attention and an investment roadmap.</w:t>
      </w:r>
    </w:p>
    <w:p w14:paraId="3B830419" w14:textId="77777777" w:rsidR="00D24757" w:rsidRDefault="00800425">
      <w:pPr>
        <w:pStyle w:val="Heading1"/>
      </w:pPr>
      <w:bookmarkStart w:id="2" w:name="_Toc231294573"/>
      <w:r>
        <w:t>2. Core Risk Statement</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4757" w14:paraId="188C7AF9" w14:textId="77777777">
        <w:tc>
          <w:tcPr>
            <w:tcW w:w="9360" w:type="dxa"/>
            <w:tcBorders>
              <w:top w:val="single" w:sz="4" w:space="0" w:color="1F3864"/>
              <w:left w:val="single" w:sz="20" w:space="0" w:color="1F3864"/>
              <w:bottom w:val="single" w:sz="4" w:space="0" w:color="1F3864"/>
              <w:right w:val="single" w:sz="4" w:space="0" w:color="1F3864"/>
            </w:tcBorders>
            <w:shd w:val="clear" w:color="auto" w:fill="EAF0F8"/>
            <w:tcMar>
              <w:top w:w="140" w:type="dxa"/>
              <w:left w:w="200" w:type="dxa"/>
              <w:bottom w:w="140" w:type="dxa"/>
              <w:right w:w="200" w:type="dxa"/>
            </w:tcMar>
          </w:tcPr>
          <w:p w14:paraId="2C410DBF" w14:textId="77777777" w:rsidR="00D24757" w:rsidRDefault="00800425">
            <w:pPr>
              <w:spacing w:after="60"/>
            </w:pPr>
            <w:r>
              <w:rPr>
                <w:b/>
                <w:bCs/>
                <w:color w:val="1F3864"/>
                <w:sz w:val="20"/>
                <w:szCs w:val="20"/>
              </w:rPr>
              <w:t>Core risk statement</w:t>
            </w:r>
          </w:p>
          <w:p w14:paraId="56B929FC" w14:textId="77777777" w:rsidR="00D24757" w:rsidRDefault="00800425">
            <w:r>
              <w:rPr>
                <w:i/>
                <w:iCs/>
              </w:rPr>
              <w:t>There is a risk that critical technology systems and infrastructure fail to deliver reliable, available and consistent service, resulting in operational disruption, financial loss, regulatory breach and reputational harm.</w:t>
            </w:r>
          </w:p>
        </w:tc>
      </w:tr>
    </w:tbl>
    <w:p w14:paraId="60564E70" w14:textId="77777777" w:rsidR="00D24757" w:rsidRDefault="00D24757">
      <w:pPr>
        <w:spacing w:after="140" w:line="276" w:lineRule="auto"/>
      </w:pPr>
    </w:p>
    <w:p w14:paraId="6A0C106D" w14:textId="77777777" w:rsidR="00D24757" w:rsidRDefault="00800425" w:rsidP="000179FF">
      <w:pPr>
        <w:spacing w:after="140" w:line="276" w:lineRule="auto"/>
        <w:jc w:val="both"/>
      </w:pPr>
      <w:r>
        <w:t>The statement captures both the cause, which is the failure of technology to perform dependably, and the effect, which is the chain of business consequences that follow. Reliability covers availability (the service is up when needed), performance (the service responds within acceptable limits) and recoverability (the service is restored quickly when it does fail). A weakness in any of these dimensions materialises the same underlying risk.</w:t>
      </w:r>
    </w:p>
    <w:p w14:paraId="6BDF1B75" w14:textId="77777777" w:rsidR="00D24757" w:rsidRDefault="00800425">
      <w:pPr>
        <w:pStyle w:val="Heading1"/>
      </w:pPr>
      <w:bookmarkStart w:id="3" w:name="_Toc231294574"/>
      <w:r>
        <w:t>3. Problem Statement</w:t>
      </w:r>
      <w:bookmarkEnd w:id="3"/>
    </w:p>
    <w:p w14:paraId="692D4CFD" w14:textId="77777777" w:rsidR="00D24757" w:rsidRDefault="00800425" w:rsidP="000179FF">
      <w:pPr>
        <w:spacing w:after="140" w:line="276" w:lineRule="auto"/>
        <w:jc w:val="both"/>
      </w:pPr>
      <w:r>
        <w:t>The organisation depends on a large and growing estate of applications, platforms and infrastructure that must operate continuously to support customers, employees and regulated processes. Several structural conditions raise the likelihood and impact of reliability failures:</w:t>
      </w:r>
    </w:p>
    <w:p w14:paraId="09EF7EEC" w14:textId="77777777" w:rsidR="00D24757" w:rsidRDefault="00800425" w:rsidP="000179FF">
      <w:pPr>
        <w:pStyle w:val="ListParagraph"/>
        <w:numPr>
          <w:ilvl w:val="0"/>
          <w:numId w:val="2"/>
        </w:numPr>
        <w:spacing w:after="70" w:line="270" w:lineRule="auto"/>
        <w:jc w:val="both"/>
      </w:pPr>
      <w:r>
        <w:t>Ageing and legacy infrastructure that is costly to maintain and increasingly difficult to support.</w:t>
      </w:r>
    </w:p>
    <w:p w14:paraId="43E4E49F" w14:textId="77777777" w:rsidR="00D24757" w:rsidRDefault="00800425" w:rsidP="000179FF">
      <w:pPr>
        <w:pStyle w:val="ListParagraph"/>
        <w:numPr>
          <w:ilvl w:val="0"/>
          <w:numId w:val="2"/>
        </w:numPr>
        <w:spacing w:after="70" w:line="270" w:lineRule="auto"/>
        <w:jc w:val="both"/>
      </w:pPr>
      <w:r>
        <w:t>Single points of failure and limited redundancy across parts of the estate, so that one component failure can cascade into a wider outage.</w:t>
      </w:r>
    </w:p>
    <w:p w14:paraId="3F238D24" w14:textId="77777777" w:rsidR="00D24757" w:rsidRDefault="00800425" w:rsidP="000179FF">
      <w:pPr>
        <w:pStyle w:val="ListParagraph"/>
        <w:numPr>
          <w:ilvl w:val="0"/>
          <w:numId w:val="2"/>
        </w:numPr>
        <w:spacing w:after="70" w:line="270" w:lineRule="auto"/>
        <w:jc w:val="both"/>
      </w:pPr>
      <w:r>
        <w:t>Capacity constraints driven by rising transaction volumes that push systems beyond their designed limits at peak.</w:t>
      </w:r>
    </w:p>
    <w:p w14:paraId="51EA6EB3" w14:textId="77777777" w:rsidR="00D24757" w:rsidRDefault="00800425" w:rsidP="000179FF">
      <w:pPr>
        <w:pStyle w:val="ListParagraph"/>
        <w:numPr>
          <w:ilvl w:val="0"/>
          <w:numId w:val="2"/>
        </w:numPr>
        <w:spacing w:after="70" w:line="270" w:lineRule="auto"/>
        <w:jc w:val="both"/>
      </w:pPr>
      <w:r>
        <w:t>Change related instability, where a meaningful share of incidents originate from changes that were poorly tested or released.</w:t>
      </w:r>
    </w:p>
    <w:p w14:paraId="29A5B3F4" w14:textId="77777777" w:rsidR="00D24757" w:rsidRDefault="00800425" w:rsidP="000179FF">
      <w:pPr>
        <w:pStyle w:val="ListParagraph"/>
        <w:numPr>
          <w:ilvl w:val="0"/>
          <w:numId w:val="2"/>
        </w:numPr>
        <w:spacing w:after="70" w:line="270" w:lineRule="auto"/>
        <w:jc w:val="both"/>
      </w:pPr>
      <w:r>
        <w:t>Monitoring that is largely reactive, so that problems are often detected by customers rather than by the organisation.</w:t>
      </w:r>
    </w:p>
    <w:p w14:paraId="54F552D5" w14:textId="77777777" w:rsidR="00D24757" w:rsidRDefault="00800425" w:rsidP="000179FF">
      <w:pPr>
        <w:pStyle w:val="ListParagraph"/>
        <w:numPr>
          <w:ilvl w:val="0"/>
          <w:numId w:val="2"/>
        </w:numPr>
        <w:spacing w:after="70" w:line="270" w:lineRule="auto"/>
        <w:jc w:val="both"/>
      </w:pPr>
      <w:r>
        <w:t>Concentration on a small number of third party and cloud providers, which transfers part of the reliability exposure outside direct control.</w:t>
      </w:r>
    </w:p>
    <w:p w14:paraId="6277A23F" w14:textId="77777777" w:rsidR="00D24757" w:rsidRDefault="00800425" w:rsidP="000179FF">
      <w:pPr>
        <w:spacing w:after="140" w:line="276" w:lineRule="auto"/>
        <w:jc w:val="both"/>
      </w:pPr>
      <w:r>
        <w:t>In combination these conditions mean that outages are not rare or purely random events but the predictable outcome of known weaknesses. The problem this assessment addresses is how to measure, threshold and control technology reliability so that the exposure is reduced to within risk appetite and managed proactively rather than after the fact.</w:t>
      </w:r>
    </w:p>
    <w:p w14:paraId="2298482B" w14:textId="77777777" w:rsidR="00D24757" w:rsidRDefault="00800425">
      <w:pPr>
        <w:pStyle w:val="Heading1"/>
      </w:pPr>
      <w:bookmarkStart w:id="4" w:name="_Toc231294575"/>
      <w:r>
        <w:t>4. Risk Type Classification</w:t>
      </w:r>
      <w:bookmarkEnd w:id="4"/>
    </w:p>
    <w:p w14:paraId="47156812" w14:textId="77777777" w:rsidR="00D24757" w:rsidRDefault="00800425" w:rsidP="000179FF">
      <w:pPr>
        <w:spacing w:after="140" w:line="276" w:lineRule="auto"/>
        <w:jc w:val="both"/>
      </w:pPr>
      <w:r>
        <w:t>Technology reliability risk is classified as a non financial</w:t>
      </w:r>
      <w:r>
        <w:t>, operational risk. It is most closely aligned with the business disruption and system failure event category and sits within the wider technology and information risk taxonomy.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D24757" w14:paraId="38BF0E16" w14:textId="77777777">
        <w:trPr>
          <w:tblHeader/>
        </w:trPr>
        <w:tc>
          <w:tcPr>
            <w:tcW w:w="3120" w:type="dxa"/>
            <w:tcBorders>
              <w:top w:val="single" w:sz="1" w:space="0" w:color="C8CDD6"/>
              <w:left w:val="single" w:sz="1" w:space="0" w:color="C8CDD6"/>
              <w:bottom w:val="single" w:sz="1" w:space="0" w:color="C8CDD6"/>
              <w:right w:val="single" w:sz="1" w:space="0" w:color="C8CDD6"/>
            </w:tcBorders>
            <w:shd w:val="clear" w:color="auto" w:fill="1F3864"/>
            <w:tcMar>
              <w:top w:w="70" w:type="dxa"/>
              <w:left w:w="120" w:type="dxa"/>
              <w:bottom w:w="70" w:type="dxa"/>
              <w:right w:w="120" w:type="dxa"/>
            </w:tcMar>
            <w:vAlign w:val="center"/>
          </w:tcPr>
          <w:p w14:paraId="1B465B33" w14:textId="77777777" w:rsidR="00D24757" w:rsidRDefault="00800425">
            <w:r>
              <w:rPr>
                <w:b/>
                <w:bCs/>
                <w:color w:val="FFFFFF"/>
                <w:sz w:val="21"/>
                <w:szCs w:val="21"/>
              </w:rPr>
              <w:t>Classification dimension</w:t>
            </w:r>
          </w:p>
        </w:tc>
        <w:tc>
          <w:tcPr>
            <w:tcW w:w="6240" w:type="dxa"/>
            <w:tcBorders>
              <w:top w:val="single" w:sz="1" w:space="0" w:color="C8CDD6"/>
              <w:left w:val="single" w:sz="1" w:space="0" w:color="C8CDD6"/>
              <w:bottom w:val="single" w:sz="1" w:space="0" w:color="C8CDD6"/>
              <w:right w:val="single" w:sz="1" w:space="0" w:color="C8CDD6"/>
            </w:tcBorders>
            <w:shd w:val="clear" w:color="auto" w:fill="1F3864"/>
            <w:tcMar>
              <w:top w:w="70" w:type="dxa"/>
              <w:left w:w="120" w:type="dxa"/>
              <w:bottom w:w="70" w:type="dxa"/>
              <w:right w:w="120" w:type="dxa"/>
            </w:tcMar>
            <w:vAlign w:val="center"/>
          </w:tcPr>
          <w:p w14:paraId="75257323" w14:textId="77777777" w:rsidR="00D24757" w:rsidRDefault="00800425">
            <w:r>
              <w:rPr>
                <w:b/>
                <w:bCs/>
                <w:color w:val="FFFFFF"/>
                <w:sz w:val="21"/>
                <w:szCs w:val="21"/>
              </w:rPr>
              <w:t>Assessment</w:t>
            </w:r>
          </w:p>
        </w:tc>
      </w:tr>
      <w:tr w:rsidR="00D24757" w14:paraId="7AB7174A" w14:textId="77777777">
        <w:tc>
          <w:tcPr>
            <w:tcW w:w="3120" w:type="dxa"/>
            <w:tcBorders>
              <w:top w:val="single" w:sz="1" w:space="0" w:color="C8CDD6"/>
              <w:left w:val="single" w:sz="1" w:space="0" w:color="C8CDD6"/>
              <w:bottom w:val="single" w:sz="1" w:space="0" w:color="C8CDD6"/>
              <w:right w:val="single" w:sz="1" w:space="0" w:color="C8CDD6"/>
            </w:tcBorders>
            <w:tcMar>
              <w:top w:w="70" w:type="dxa"/>
              <w:left w:w="120" w:type="dxa"/>
              <w:bottom w:w="70" w:type="dxa"/>
              <w:right w:w="120" w:type="dxa"/>
            </w:tcMar>
            <w:vAlign w:val="center"/>
          </w:tcPr>
          <w:p w14:paraId="148C2BF3" w14:textId="77777777" w:rsidR="00D24757" w:rsidRDefault="00800425">
            <w:r>
              <w:rPr>
                <w:sz w:val="21"/>
                <w:szCs w:val="21"/>
              </w:rPr>
              <w:t>Primary category</w:t>
            </w:r>
          </w:p>
        </w:tc>
        <w:tc>
          <w:tcPr>
            <w:tcW w:w="6240" w:type="dxa"/>
            <w:tcBorders>
              <w:top w:val="single" w:sz="1" w:space="0" w:color="C8CDD6"/>
              <w:left w:val="single" w:sz="1" w:space="0" w:color="C8CDD6"/>
              <w:bottom w:val="single" w:sz="1" w:space="0" w:color="C8CDD6"/>
              <w:right w:val="single" w:sz="1" w:space="0" w:color="C8CDD6"/>
            </w:tcBorders>
            <w:tcMar>
              <w:top w:w="70" w:type="dxa"/>
              <w:left w:w="120" w:type="dxa"/>
              <w:bottom w:w="70" w:type="dxa"/>
              <w:right w:w="120" w:type="dxa"/>
            </w:tcMar>
            <w:vAlign w:val="center"/>
          </w:tcPr>
          <w:p w14:paraId="607EC777" w14:textId="77777777" w:rsidR="00D24757" w:rsidRDefault="00800425">
            <w:r>
              <w:rPr>
                <w:sz w:val="21"/>
                <w:szCs w:val="21"/>
              </w:rPr>
              <w:t>Operational risk (non financial)</w:t>
            </w:r>
          </w:p>
        </w:tc>
      </w:tr>
      <w:tr w:rsidR="00D24757" w14:paraId="2A365D08" w14:textId="77777777">
        <w:tc>
          <w:tcPr>
            <w:tcW w:w="3120" w:type="dxa"/>
            <w:tcBorders>
              <w:top w:val="single" w:sz="1" w:space="0" w:color="C8CDD6"/>
              <w:left w:val="single" w:sz="1" w:space="0" w:color="C8CDD6"/>
              <w:bottom w:val="single" w:sz="1" w:space="0" w:color="C8CDD6"/>
              <w:right w:val="single" w:sz="1" w:space="0" w:color="C8CDD6"/>
            </w:tcBorders>
            <w:shd w:val="clear" w:color="auto" w:fill="F4F6FA"/>
            <w:tcMar>
              <w:top w:w="70" w:type="dxa"/>
              <w:left w:w="120" w:type="dxa"/>
              <w:bottom w:w="70" w:type="dxa"/>
              <w:right w:w="120" w:type="dxa"/>
            </w:tcMar>
            <w:vAlign w:val="center"/>
          </w:tcPr>
          <w:p w14:paraId="5D0563C6" w14:textId="77777777" w:rsidR="00D24757" w:rsidRDefault="00800425">
            <w:r>
              <w:rPr>
                <w:sz w:val="21"/>
                <w:szCs w:val="21"/>
              </w:rPr>
              <w:t>Sub category</w:t>
            </w:r>
          </w:p>
        </w:tc>
        <w:tc>
          <w:tcPr>
            <w:tcW w:w="6240" w:type="dxa"/>
            <w:tcBorders>
              <w:top w:val="single" w:sz="1" w:space="0" w:color="C8CDD6"/>
              <w:left w:val="single" w:sz="1" w:space="0" w:color="C8CDD6"/>
              <w:bottom w:val="single" w:sz="1" w:space="0" w:color="C8CDD6"/>
              <w:right w:val="single" w:sz="1" w:space="0" w:color="C8CDD6"/>
            </w:tcBorders>
            <w:shd w:val="clear" w:color="auto" w:fill="F4F6FA"/>
            <w:tcMar>
              <w:top w:w="70" w:type="dxa"/>
              <w:left w:w="120" w:type="dxa"/>
              <w:bottom w:w="70" w:type="dxa"/>
              <w:right w:w="120" w:type="dxa"/>
            </w:tcMar>
            <w:vAlign w:val="center"/>
          </w:tcPr>
          <w:p w14:paraId="32D1805E" w14:textId="77777777" w:rsidR="00D24757" w:rsidRDefault="00800425">
            <w:r>
              <w:rPr>
                <w:sz w:val="21"/>
                <w:szCs w:val="21"/>
              </w:rPr>
              <w:t>Technology and information risk</w:t>
            </w:r>
          </w:p>
        </w:tc>
      </w:tr>
      <w:tr w:rsidR="00D24757" w14:paraId="17D6D03F" w14:textId="77777777">
        <w:tc>
          <w:tcPr>
            <w:tcW w:w="3120" w:type="dxa"/>
            <w:tcBorders>
              <w:top w:val="single" w:sz="1" w:space="0" w:color="C8CDD6"/>
              <w:left w:val="single" w:sz="1" w:space="0" w:color="C8CDD6"/>
              <w:bottom w:val="single" w:sz="1" w:space="0" w:color="C8CDD6"/>
              <w:right w:val="single" w:sz="1" w:space="0" w:color="C8CDD6"/>
            </w:tcBorders>
            <w:tcMar>
              <w:top w:w="70" w:type="dxa"/>
              <w:left w:w="120" w:type="dxa"/>
              <w:bottom w:w="70" w:type="dxa"/>
              <w:right w:w="120" w:type="dxa"/>
            </w:tcMar>
            <w:vAlign w:val="center"/>
          </w:tcPr>
          <w:p w14:paraId="029BCF4E" w14:textId="77777777" w:rsidR="00D24757" w:rsidRDefault="00800425">
            <w:r>
              <w:rPr>
                <w:sz w:val="21"/>
                <w:szCs w:val="21"/>
              </w:rPr>
              <w:t>Event type</w:t>
            </w:r>
          </w:p>
        </w:tc>
        <w:tc>
          <w:tcPr>
            <w:tcW w:w="6240" w:type="dxa"/>
            <w:tcBorders>
              <w:top w:val="single" w:sz="1" w:space="0" w:color="C8CDD6"/>
              <w:left w:val="single" w:sz="1" w:space="0" w:color="C8CDD6"/>
              <w:bottom w:val="single" w:sz="1" w:space="0" w:color="C8CDD6"/>
              <w:right w:val="single" w:sz="1" w:space="0" w:color="C8CDD6"/>
            </w:tcBorders>
            <w:tcMar>
              <w:top w:w="70" w:type="dxa"/>
              <w:left w:w="120" w:type="dxa"/>
              <w:bottom w:w="70" w:type="dxa"/>
              <w:right w:w="120" w:type="dxa"/>
            </w:tcMar>
            <w:vAlign w:val="center"/>
          </w:tcPr>
          <w:p w14:paraId="2E6C9D2F" w14:textId="77777777" w:rsidR="00D24757" w:rsidRDefault="00800425">
            <w:r>
              <w:rPr>
                <w:sz w:val="21"/>
                <w:szCs w:val="21"/>
              </w:rPr>
              <w:t>Business disruption and system failures</w:t>
            </w:r>
          </w:p>
        </w:tc>
      </w:tr>
      <w:tr w:rsidR="00D24757" w14:paraId="6B819D4E" w14:textId="77777777">
        <w:tc>
          <w:tcPr>
            <w:tcW w:w="3120" w:type="dxa"/>
            <w:tcBorders>
              <w:top w:val="single" w:sz="1" w:space="0" w:color="C8CDD6"/>
              <w:left w:val="single" w:sz="1" w:space="0" w:color="C8CDD6"/>
              <w:bottom w:val="single" w:sz="1" w:space="0" w:color="C8CDD6"/>
              <w:right w:val="single" w:sz="1" w:space="0" w:color="C8CDD6"/>
            </w:tcBorders>
            <w:shd w:val="clear" w:color="auto" w:fill="F4F6FA"/>
            <w:tcMar>
              <w:top w:w="70" w:type="dxa"/>
              <w:left w:w="120" w:type="dxa"/>
              <w:bottom w:w="70" w:type="dxa"/>
              <w:right w:w="120" w:type="dxa"/>
            </w:tcMar>
            <w:vAlign w:val="center"/>
          </w:tcPr>
          <w:p w14:paraId="26FFC5E6" w14:textId="77777777" w:rsidR="00D24757" w:rsidRDefault="00800425">
            <w:r>
              <w:rPr>
                <w:sz w:val="21"/>
                <w:szCs w:val="21"/>
              </w:rPr>
              <w:t>Risk nature</w:t>
            </w:r>
          </w:p>
        </w:tc>
        <w:tc>
          <w:tcPr>
            <w:tcW w:w="6240" w:type="dxa"/>
            <w:tcBorders>
              <w:top w:val="single" w:sz="1" w:space="0" w:color="C8CDD6"/>
              <w:left w:val="single" w:sz="1" w:space="0" w:color="C8CDD6"/>
              <w:bottom w:val="single" w:sz="1" w:space="0" w:color="C8CDD6"/>
              <w:right w:val="single" w:sz="1" w:space="0" w:color="C8CDD6"/>
            </w:tcBorders>
            <w:shd w:val="clear" w:color="auto" w:fill="F4F6FA"/>
            <w:tcMar>
              <w:top w:w="70" w:type="dxa"/>
              <w:left w:w="120" w:type="dxa"/>
              <w:bottom w:w="70" w:type="dxa"/>
              <w:right w:w="120" w:type="dxa"/>
            </w:tcMar>
            <w:vAlign w:val="center"/>
          </w:tcPr>
          <w:p w14:paraId="3D57C732" w14:textId="77777777" w:rsidR="00D24757" w:rsidRDefault="00800425">
            <w:r>
              <w:rPr>
                <w:sz w:val="21"/>
                <w:szCs w:val="21"/>
              </w:rPr>
              <w:t>Largely internal cause with external amplifiers</w:t>
            </w:r>
          </w:p>
        </w:tc>
      </w:tr>
      <w:tr w:rsidR="00D24757" w14:paraId="223F22F4" w14:textId="77777777">
        <w:tc>
          <w:tcPr>
            <w:tcW w:w="3120" w:type="dxa"/>
            <w:tcBorders>
              <w:top w:val="single" w:sz="1" w:space="0" w:color="C8CDD6"/>
              <w:left w:val="single" w:sz="1" w:space="0" w:color="C8CDD6"/>
              <w:bottom w:val="single" w:sz="1" w:space="0" w:color="C8CDD6"/>
              <w:right w:val="single" w:sz="1" w:space="0" w:color="C8CDD6"/>
            </w:tcBorders>
            <w:tcMar>
              <w:top w:w="70" w:type="dxa"/>
              <w:left w:w="120" w:type="dxa"/>
              <w:bottom w:w="70" w:type="dxa"/>
              <w:right w:w="120" w:type="dxa"/>
            </w:tcMar>
            <w:vAlign w:val="center"/>
          </w:tcPr>
          <w:p w14:paraId="667CB8DD" w14:textId="77777777" w:rsidR="00D24757" w:rsidRDefault="00800425">
            <w:r>
              <w:rPr>
                <w:sz w:val="21"/>
                <w:szCs w:val="21"/>
              </w:rPr>
              <w:t>Velocity</w:t>
            </w:r>
          </w:p>
        </w:tc>
        <w:tc>
          <w:tcPr>
            <w:tcW w:w="6240" w:type="dxa"/>
            <w:tcBorders>
              <w:top w:val="single" w:sz="1" w:space="0" w:color="C8CDD6"/>
              <w:left w:val="single" w:sz="1" w:space="0" w:color="C8CDD6"/>
              <w:bottom w:val="single" w:sz="1" w:space="0" w:color="C8CDD6"/>
              <w:right w:val="single" w:sz="1" w:space="0" w:color="C8CDD6"/>
            </w:tcBorders>
            <w:tcMar>
              <w:top w:w="70" w:type="dxa"/>
              <w:left w:w="120" w:type="dxa"/>
              <w:bottom w:w="70" w:type="dxa"/>
              <w:right w:w="120" w:type="dxa"/>
            </w:tcMar>
            <w:vAlign w:val="center"/>
          </w:tcPr>
          <w:p w14:paraId="59CCD61E" w14:textId="77777777" w:rsidR="00D24757" w:rsidRDefault="00800425">
            <w:r>
              <w:rPr>
                <w:sz w:val="21"/>
                <w:szCs w:val="21"/>
              </w:rPr>
              <w:t>High. Impact can be immediate once a failure occurs</w:t>
            </w:r>
          </w:p>
        </w:tc>
      </w:tr>
      <w:tr w:rsidR="00D24757" w14:paraId="7E8A6657" w14:textId="77777777">
        <w:tc>
          <w:tcPr>
            <w:tcW w:w="3120" w:type="dxa"/>
            <w:tcBorders>
              <w:top w:val="single" w:sz="1" w:space="0" w:color="C8CDD6"/>
              <w:left w:val="single" w:sz="1" w:space="0" w:color="C8CDD6"/>
              <w:bottom w:val="single" w:sz="1" w:space="0" w:color="C8CDD6"/>
              <w:right w:val="single" w:sz="1" w:space="0" w:color="C8CDD6"/>
            </w:tcBorders>
            <w:shd w:val="clear" w:color="auto" w:fill="F4F6FA"/>
            <w:tcMar>
              <w:top w:w="70" w:type="dxa"/>
              <w:left w:w="120" w:type="dxa"/>
              <w:bottom w:w="70" w:type="dxa"/>
              <w:right w:w="120" w:type="dxa"/>
            </w:tcMar>
            <w:vAlign w:val="center"/>
          </w:tcPr>
          <w:p w14:paraId="6B2CAD40" w14:textId="77777777" w:rsidR="00D24757" w:rsidRDefault="00800425">
            <w:r>
              <w:rPr>
                <w:sz w:val="21"/>
                <w:szCs w:val="21"/>
              </w:rPr>
              <w:t>Manageability</w:t>
            </w:r>
          </w:p>
        </w:tc>
        <w:tc>
          <w:tcPr>
            <w:tcW w:w="6240" w:type="dxa"/>
            <w:tcBorders>
              <w:top w:val="single" w:sz="1" w:space="0" w:color="C8CDD6"/>
              <w:left w:val="single" w:sz="1" w:space="0" w:color="C8CDD6"/>
              <w:bottom w:val="single" w:sz="1" w:space="0" w:color="C8CDD6"/>
              <w:right w:val="single" w:sz="1" w:space="0" w:color="C8CDD6"/>
            </w:tcBorders>
            <w:shd w:val="clear" w:color="auto" w:fill="F4F6FA"/>
            <w:tcMar>
              <w:top w:w="70" w:type="dxa"/>
              <w:left w:w="120" w:type="dxa"/>
              <w:bottom w:w="70" w:type="dxa"/>
              <w:right w:w="120" w:type="dxa"/>
            </w:tcMar>
            <w:vAlign w:val="center"/>
          </w:tcPr>
          <w:p w14:paraId="2BFF5C73" w14:textId="77777777" w:rsidR="00D24757" w:rsidRDefault="00800425">
            <w:r>
              <w:rPr>
                <w:sz w:val="21"/>
                <w:szCs w:val="21"/>
              </w:rPr>
              <w:t>Controllable through architecture, monitoring and change discipline</w:t>
            </w:r>
          </w:p>
        </w:tc>
      </w:tr>
      <w:tr w:rsidR="00D24757" w14:paraId="10E2E9A0" w14:textId="77777777">
        <w:tc>
          <w:tcPr>
            <w:tcW w:w="3120" w:type="dxa"/>
            <w:tcBorders>
              <w:top w:val="single" w:sz="1" w:space="0" w:color="C8CDD6"/>
              <w:left w:val="single" w:sz="1" w:space="0" w:color="C8CDD6"/>
              <w:bottom w:val="single" w:sz="1" w:space="0" w:color="C8CDD6"/>
              <w:right w:val="single" w:sz="1" w:space="0" w:color="C8CDD6"/>
            </w:tcBorders>
            <w:tcMar>
              <w:top w:w="70" w:type="dxa"/>
              <w:left w:w="120" w:type="dxa"/>
              <w:bottom w:w="70" w:type="dxa"/>
              <w:right w:w="120" w:type="dxa"/>
            </w:tcMar>
            <w:vAlign w:val="center"/>
          </w:tcPr>
          <w:p w14:paraId="1E850B26" w14:textId="77777777" w:rsidR="00D24757" w:rsidRDefault="00800425">
            <w:r>
              <w:rPr>
                <w:sz w:val="21"/>
                <w:szCs w:val="21"/>
              </w:rPr>
              <w:t>Appetite</w:t>
            </w:r>
          </w:p>
        </w:tc>
        <w:tc>
          <w:tcPr>
            <w:tcW w:w="6240" w:type="dxa"/>
            <w:tcBorders>
              <w:top w:val="single" w:sz="1" w:space="0" w:color="C8CDD6"/>
              <w:left w:val="single" w:sz="1" w:space="0" w:color="C8CDD6"/>
              <w:bottom w:val="single" w:sz="1" w:space="0" w:color="C8CDD6"/>
              <w:right w:val="single" w:sz="1" w:space="0" w:color="C8CDD6"/>
            </w:tcBorders>
            <w:tcMar>
              <w:top w:w="70" w:type="dxa"/>
              <w:left w:w="120" w:type="dxa"/>
              <w:bottom w:w="70" w:type="dxa"/>
              <w:right w:w="120" w:type="dxa"/>
            </w:tcMar>
            <w:vAlign w:val="center"/>
          </w:tcPr>
          <w:p w14:paraId="710967E0" w14:textId="77777777" w:rsidR="00D24757" w:rsidRDefault="00800425">
            <w:r>
              <w:rPr>
                <w:sz w:val="21"/>
                <w:szCs w:val="21"/>
              </w:rPr>
              <w:t>Low. The organisation seeks high availability of critical services</w:t>
            </w:r>
          </w:p>
        </w:tc>
      </w:tr>
    </w:tbl>
    <w:p w14:paraId="6C294C4E" w14:textId="77777777" w:rsidR="00D24757" w:rsidRDefault="00D24757">
      <w:pPr>
        <w:spacing w:after="140" w:line="276" w:lineRule="auto"/>
      </w:pPr>
    </w:p>
    <w:p w14:paraId="07613A7C" w14:textId="77777777" w:rsidR="00D24757" w:rsidRDefault="00800425" w:rsidP="000179FF">
      <w:pPr>
        <w:spacing w:after="80" w:line="276" w:lineRule="auto"/>
        <w:jc w:val="both"/>
      </w:pPr>
      <w:r>
        <w:t>Classifying the risk in this way allows it to be reported within the operational risk framework, mapped to recognised control libraries and aggregated with other operational exposures for governance and capital purposes (ISACA, 2019).</w:t>
      </w:r>
    </w:p>
    <w:p w14:paraId="380D5B1F" w14:textId="77777777" w:rsidR="00D24757" w:rsidRDefault="00800425">
      <w:pPr>
        <w:pStyle w:val="Heading1"/>
        <w:pageBreakBefore/>
      </w:pPr>
      <w:bookmarkStart w:id="5" w:name="_Toc231294576"/>
      <w:r>
        <w:t>5. SWOT Analysis and Connection Summary</w:t>
      </w:r>
      <w:bookmarkEnd w:id="5"/>
    </w:p>
    <w:p w14:paraId="736D9750" w14:textId="77777777" w:rsidR="00D24757" w:rsidRDefault="00800425" w:rsidP="000179FF">
      <w:pPr>
        <w:spacing w:after="140" w:line="276" w:lineRule="auto"/>
        <w:jc w:val="both"/>
      </w:pPr>
      <w:r>
        <w:t>The SWOT analysis below links the internal and external factors that shape technology reliability risk. Strengths and opportunities reduce the exposure, while weaknesses and threats increase it.</w:t>
      </w:r>
    </w:p>
    <w:p w14:paraId="4E52DD36" w14:textId="77777777" w:rsidR="00D24757" w:rsidRDefault="00800425">
      <w:pPr>
        <w:spacing w:before="100" w:after="60"/>
        <w:jc w:val="center"/>
      </w:pPr>
      <w:r>
        <w:rPr>
          <w:noProof/>
        </w:rPr>
        <w:drawing>
          <wp:inline distT="0" distB="0" distL="0" distR="0" wp14:anchorId="383D7265" wp14:editId="285A54D9">
            <wp:extent cx="5715000" cy="3810000"/>
            <wp:effectExtent l="0" t="0" r="0" b="0"/>
            <wp:docPr id="597346826" name="SWOT matrix for technology reliability risk" descr="SWOT matrix for technology reliability risk" title="SWOT matrix for technology reliability ri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810000"/>
                    </a:xfrm>
                    <a:prstGeom prst="rect">
                      <a:avLst/>
                    </a:prstGeom>
                  </pic:spPr>
                </pic:pic>
              </a:graphicData>
            </a:graphic>
          </wp:inline>
        </w:drawing>
      </w:r>
    </w:p>
    <w:p w14:paraId="5BFD31EA" w14:textId="77777777" w:rsidR="00D24757" w:rsidRDefault="00800425">
      <w:pPr>
        <w:spacing w:after="200"/>
        <w:jc w:val="center"/>
      </w:pPr>
      <w:r>
        <w:rPr>
          <w:i/>
          <w:iCs/>
          <w:color w:val="5A5A5A"/>
          <w:sz w:val="18"/>
          <w:szCs w:val="18"/>
        </w:rPr>
        <w:t>Figure 1. SWOT analysis mapped to technology reliability risk.</w:t>
      </w:r>
    </w:p>
    <w:p w14:paraId="1B70BAEC" w14:textId="77777777" w:rsidR="00D24757" w:rsidRDefault="00800425">
      <w:pPr>
        <w:pStyle w:val="Heading2"/>
      </w:pPr>
      <w:bookmarkStart w:id="6" w:name="_Toc231294577"/>
      <w:r>
        <w:t>Connection summary</w:t>
      </w:r>
      <w:bookmarkEnd w:id="6"/>
    </w:p>
    <w:p w14:paraId="4EBFAC33" w14:textId="77777777" w:rsidR="00D24757" w:rsidRDefault="00800425" w:rsidP="000179FF">
      <w:pPr>
        <w:spacing w:after="140" w:line="276" w:lineRule="auto"/>
        <w:jc w:val="both"/>
      </w:pPr>
      <w:r>
        <w:t>The four quadrants connect directly to the risk in a cause and control structure. Internal weaknesses, in particular legacy infrastructure and single points of failure, are the primary drivers that raise the likelihood and impact of reliability failures. External threats such as cyber attacks, third party failure and rising volumes act as amplifiers that can trigger or worsen those failures. Strengths form the existing control base, providing the monitoring, skills and recovery capability that limit the con</w:t>
      </w:r>
      <w:r>
        <w:t>sequences when incidents occur. Opportunities define the treatment roadmap, since automation, predictive analytics and modern observability are the means by which weaknesses are reduced and resilience is improved over time.</w:t>
      </w:r>
    </w:p>
    <w:p w14:paraId="2A3E10C6" w14:textId="77777777" w:rsidR="00D24757" w:rsidRDefault="00800425" w:rsidP="000179FF">
      <w:pPr>
        <w:spacing w:after="140" w:line="276" w:lineRule="auto"/>
        <w:jc w:val="both"/>
      </w:pPr>
      <w:r>
        <w:t>Read together, the SWOT tells a clear story. The organisation has a capable foundation, but unless the weaknesses are addressed through the available opportunities, the external threats will continue to expose the same internal fault lines, and residual reliability risk will remain above appetite.</w:t>
      </w:r>
    </w:p>
    <w:p w14:paraId="2A163327" w14:textId="77777777" w:rsidR="00D24757" w:rsidRDefault="00800425">
      <w:pPr>
        <w:pStyle w:val="Heading1"/>
      </w:pPr>
      <w:bookmarkStart w:id="7" w:name="_Toc231294578"/>
      <w:r>
        <w:t>6. Key Risk Indicators</w:t>
      </w:r>
      <w:bookmarkEnd w:id="7"/>
    </w:p>
    <w:p w14:paraId="30B533FD" w14:textId="77777777" w:rsidR="00D24757" w:rsidRDefault="00800425" w:rsidP="000179FF">
      <w:pPr>
        <w:spacing w:after="140" w:line="276" w:lineRule="auto"/>
        <w:jc w:val="both"/>
      </w:pPr>
      <w:r>
        <w:t>Key risk indicators provide an early and measurable signal of changes in the exposure. The indicators below cover availability, recovery, stability and capacity, which together describe the reliability of the estate.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700"/>
        <w:gridCol w:w="3060"/>
      </w:tblGrid>
      <w:tr w:rsidR="00D24757" w14:paraId="635F499B" w14:textId="77777777">
        <w:trPr>
          <w:tblHeader/>
        </w:trPr>
        <w:tc>
          <w:tcPr>
            <w:tcW w:w="2600" w:type="dxa"/>
            <w:tcBorders>
              <w:top w:val="single" w:sz="1" w:space="0" w:color="C8CDD6"/>
              <w:left w:val="single" w:sz="1" w:space="0" w:color="C8CDD6"/>
              <w:bottom w:val="single" w:sz="1" w:space="0" w:color="C8CDD6"/>
              <w:right w:val="single" w:sz="1" w:space="0" w:color="C8CDD6"/>
            </w:tcBorders>
            <w:shd w:val="clear" w:color="auto" w:fill="1F3864"/>
            <w:tcMar>
              <w:top w:w="70" w:type="dxa"/>
              <w:left w:w="120" w:type="dxa"/>
              <w:bottom w:w="70" w:type="dxa"/>
              <w:right w:w="120" w:type="dxa"/>
            </w:tcMar>
            <w:vAlign w:val="center"/>
          </w:tcPr>
          <w:p w14:paraId="32983C10" w14:textId="77777777" w:rsidR="00D24757" w:rsidRDefault="00800425">
            <w:r>
              <w:rPr>
                <w:b/>
                <w:bCs/>
                <w:color w:val="FFFFFF"/>
                <w:sz w:val="21"/>
                <w:szCs w:val="21"/>
              </w:rPr>
              <w:t>Key risk indicator</w:t>
            </w:r>
          </w:p>
        </w:tc>
        <w:tc>
          <w:tcPr>
            <w:tcW w:w="3700" w:type="dxa"/>
            <w:tcBorders>
              <w:top w:val="single" w:sz="1" w:space="0" w:color="C8CDD6"/>
              <w:left w:val="single" w:sz="1" w:space="0" w:color="C8CDD6"/>
              <w:bottom w:val="single" w:sz="1" w:space="0" w:color="C8CDD6"/>
              <w:right w:val="single" w:sz="1" w:space="0" w:color="C8CDD6"/>
            </w:tcBorders>
            <w:shd w:val="clear" w:color="auto" w:fill="1F3864"/>
            <w:tcMar>
              <w:top w:w="70" w:type="dxa"/>
              <w:left w:w="120" w:type="dxa"/>
              <w:bottom w:w="70" w:type="dxa"/>
              <w:right w:w="120" w:type="dxa"/>
            </w:tcMar>
            <w:vAlign w:val="center"/>
          </w:tcPr>
          <w:p w14:paraId="154512C6" w14:textId="77777777" w:rsidR="00D24757" w:rsidRDefault="00800425">
            <w:r>
              <w:rPr>
                <w:b/>
                <w:bCs/>
                <w:color w:val="FFFFFF"/>
                <w:sz w:val="21"/>
                <w:szCs w:val="21"/>
              </w:rPr>
              <w:t>What it measures</w:t>
            </w:r>
          </w:p>
        </w:tc>
        <w:tc>
          <w:tcPr>
            <w:tcW w:w="3060" w:type="dxa"/>
            <w:tcBorders>
              <w:top w:val="single" w:sz="1" w:space="0" w:color="C8CDD6"/>
              <w:left w:val="single" w:sz="1" w:space="0" w:color="C8CDD6"/>
              <w:bottom w:val="single" w:sz="1" w:space="0" w:color="C8CDD6"/>
              <w:right w:val="single" w:sz="1" w:space="0" w:color="C8CDD6"/>
            </w:tcBorders>
            <w:shd w:val="clear" w:color="auto" w:fill="1F3864"/>
            <w:tcMar>
              <w:top w:w="70" w:type="dxa"/>
              <w:left w:w="120" w:type="dxa"/>
              <w:bottom w:w="70" w:type="dxa"/>
              <w:right w:w="120" w:type="dxa"/>
            </w:tcMar>
            <w:vAlign w:val="center"/>
          </w:tcPr>
          <w:p w14:paraId="15EDEB0F" w14:textId="77777777" w:rsidR="00D24757" w:rsidRDefault="00800425">
            <w:r>
              <w:rPr>
                <w:b/>
                <w:bCs/>
                <w:color w:val="FFFFFF"/>
                <w:sz w:val="21"/>
                <w:szCs w:val="21"/>
              </w:rPr>
              <w:t>Why it matters</w:t>
            </w:r>
          </w:p>
        </w:tc>
      </w:tr>
      <w:tr w:rsidR="00D24757" w14:paraId="277F2A3B" w14:textId="77777777">
        <w:tc>
          <w:tcPr>
            <w:tcW w:w="2600" w:type="dxa"/>
            <w:tcBorders>
              <w:top w:val="single" w:sz="1" w:space="0" w:color="C8CDD6"/>
              <w:left w:val="single" w:sz="1" w:space="0" w:color="C8CDD6"/>
              <w:bottom w:val="single" w:sz="1" w:space="0" w:color="C8CDD6"/>
              <w:right w:val="single" w:sz="1" w:space="0" w:color="C8CDD6"/>
            </w:tcBorders>
            <w:tcMar>
              <w:top w:w="70" w:type="dxa"/>
              <w:left w:w="120" w:type="dxa"/>
              <w:bottom w:w="70" w:type="dxa"/>
              <w:right w:w="120" w:type="dxa"/>
            </w:tcMar>
            <w:vAlign w:val="center"/>
          </w:tcPr>
          <w:p w14:paraId="5997B120" w14:textId="77777777" w:rsidR="00D24757" w:rsidRDefault="00800425">
            <w:r>
              <w:rPr>
                <w:sz w:val="21"/>
                <w:szCs w:val="21"/>
              </w:rPr>
              <w:t>System availability</w:t>
            </w:r>
          </w:p>
        </w:tc>
        <w:tc>
          <w:tcPr>
            <w:tcW w:w="3700" w:type="dxa"/>
            <w:tcBorders>
              <w:top w:val="single" w:sz="1" w:space="0" w:color="C8CDD6"/>
              <w:left w:val="single" w:sz="1" w:space="0" w:color="C8CDD6"/>
              <w:bottom w:val="single" w:sz="1" w:space="0" w:color="C8CDD6"/>
              <w:right w:val="single" w:sz="1" w:space="0" w:color="C8CDD6"/>
            </w:tcBorders>
            <w:tcMar>
              <w:top w:w="70" w:type="dxa"/>
              <w:left w:w="120" w:type="dxa"/>
              <w:bottom w:w="70" w:type="dxa"/>
              <w:right w:w="120" w:type="dxa"/>
            </w:tcMar>
            <w:vAlign w:val="center"/>
          </w:tcPr>
          <w:p w14:paraId="2B72EF18" w14:textId="77777777" w:rsidR="00D24757" w:rsidRDefault="00800425">
            <w:r>
              <w:rPr>
                <w:sz w:val="21"/>
                <w:szCs w:val="21"/>
              </w:rPr>
              <w:t>Percentage of time critical services are available</w:t>
            </w:r>
          </w:p>
        </w:tc>
        <w:tc>
          <w:tcPr>
            <w:tcW w:w="3060" w:type="dxa"/>
            <w:tcBorders>
              <w:top w:val="single" w:sz="1" w:space="0" w:color="C8CDD6"/>
              <w:left w:val="single" w:sz="1" w:space="0" w:color="C8CDD6"/>
              <w:bottom w:val="single" w:sz="1" w:space="0" w:color="C8CDD6"/>
              <w:right w:val="single" w:sz="1" w:space="0" w:color="C8CDD6"/>
            </w:tcBorders>
            <w:tcMar>
              <w:top w:w="70" w:type="dxa"/>
              <w:left w:w="120" w:type="dxa"/>
              <w:bottom w:w="70" w:type="dxa"/>
              <w:right w:w="120" w:type="dxa"/>
            </w:tcMar>
            <w:vAlign w:val="center"/>
          </w:tcPr>
          <w:p w14:paraId="734B36B8" w14:textId="77777777" w:rsidR="00D24757" w:rsidRDefault="00800425">
            <w:r>
              <w:rPr>
                <w:sz w:val="21"/>
                <w:szCs w:val="21"/>
              </w:rPr>
              <w:t>Direct measure of reliability against service commitments</w:t>
            </w:r>
          </w:p>
        </w:tc>
      </w:tr>
      <w:tr w:rsidR="00D24757" w14:paraId="783A9EEA" w14:textId="77777777">
        <w:tc>
          <w:tcPr>
            <w:tcW w:w="2600" w:type="dxa"/>
            <w:tcBorders>
              <w:top w:val="single" w:sz="1" w:space="0" w:color="C8CDD6"/>
              <w:left w:val="single" w:sz="1" w:space="0" w:color="C8CDD6"/>
              <w:bottom w:val="single" w:sz="1" w:space="0" w:color="C8CDD6"/>
              <w:right w:val="single" w:sz="1" w:space="0" w:color="C8CDD6"/>
            </w:tcBorders>
            <w:shd w:val="clear" w:color="auto" w:fill="F4F6FA"/>
            <w:tcMar>
              <w:top w:w="70" w:type="dxa"/>
              <w:left w:w="120" w:type="dxa"/>
              <w:bottom w:w="70" w:type="dxa"/>
              <w:right w:w="120" w:type="dxa"/>
            </w:tcMar>
            <w:vAlign w:val="center"/>
          </w:tcPr>
          <w:p w14:paraId="5483D6CD" w14:textId="77777777" w:rsidR="00D24757" w:rsidRDefault="00800425">
            <w:r>
              <w:rPr>
                <w:sz w:val="21"/>
                <w:szCs w:val="21"/>
              </w:rPr>
              <w:t>Mean time to recovery</w:t>
            </w:r>
          </w:p>
        </w:tc>
        <w:tc>
          <w:tcPr>
            <w:tcW w:w="3700" w:type="dxa"/>
            <w:tcBorders>
              <w:top w:val="single" w:sz="1" w:space="0" w:color="C8CDD6"/>
              <w:left w:val="single" w:sz="1" w:space="0" w:color="C8CDD6"/>
              <w:bottom w:val="single" w:sz="1" w:space="0" w:color="C8CDD6"/>
              <w:right w:val="single" w:sz="1" w:space="0" w:color="C8CDD6"/>
            </w:tcBorders>
            <w:shd w:val="clear" w:color="auto" w:fill="F4F6FA"/>
            <w:tcMar>
              <w:top w:w="70" w:type="dxa"/>
              <w:left w:w="120" w:type="dxa"/>
              <w:bottom w:w="70" w:type="dxa"/>
              <w:right w:w="120" w:type="dxa"/>
            </w:tcMar>
            <w:vAlign w:val="center"/>
          </w:tcPr>
          <w:p w14:paraId="60D4473E" w14:textId="77777777" w:rsidR="00D24757" w:rsidRDefault="00800425">
            <w:r>
              <w:rPr>
                <w:sz w:val="21"/>
                <w:szCs w:val="21"/>
              </w:rPr>
              <w:t>Average time to restore service after an incident</w:t>
            </w:r>
          </w:p>
        </w:tc>
        <w:tc>
          <w:tcPr>
            <w:tcW w:w="3060" w:type="dxa"/>
            <w:tcBorders>
              <w:top w:val="single" w:sz="1" w:space="0" w:color="C8CDD6"/>
              <w:left w:val="single" w:sz="1" w:space="0" w:color="C8CDD6"/>
              <w:bottom w:val="single" w:sz="1" w:space="0" w:color="C8CDD6"/>
              <w:right w:val="single" w:sz="1" w:space="0" w:color="C8CDD6"/>
            </w:tcBorders>
            <w:shd w:val="clear" w:color="auto" w:fill="F4F6FA"/>
            <w:tcMar>
              <w:top w:w="70" w:type="dxa"/>
              <w:left w:w="120" w:type="dxa"/>
              <w:bottom w:w="70" w:type="dxa"/>
              <w:right w:w="120" w:type="dxa"/>
            </w:tcMar>
            <w:vAlign w:val="center"/>
          </w:tcPr>
          <w:p w14:paraId="4ABE0E62" w14:textId="77777777" w:rsidR="00D24757" w:rsidRDefault="00800425">
            <w:r>
              <w:rPr>
                <w:sz w:val="21"/>
                <w:szCs w:val="21"/>
              </w:rPr>
              <w:t>Shows how quickly the organisation recovers from failure</w:t>
            </w:r>
          </w:p>
        </w:tc>
      </w:tr>
      <w:tr w:rsidR="00D24757" w14:paraId="5CDA5721" w14:textId="77777777">
        <w:tc>
          <w:tcPr>
            <w:tcW w:w="2600" w:type="dxa"/>
            <w:tcBorders>
              <w:top w:val="single" w:sz="1" w:space="0" w:color="C8CDD6"/>
              <w:left w:val="single" w:sz="1" w:space="0" w:color="C8CDD6"/>
              <w:bottom w:val="single" w:sz="1" w:space="0" w:color="C8CDD6"/>
              <w:right w:val="single" w:sz="1" w:space="0" w:color="C8CDD6"/>
            </w:tcBorders>
            <w:tcMar>
              <w:top w:w="70" w:type="dxa"/>
              <w:left w:w="120" w:type="dxa"/>
              <w:bottom w:w="70" w:type="dxa"/>
              <w:right w:w="120" w:type="dxa"/>
            </w:tcMar>
            <w:vAlign w:val="center"/>
          </w:tcPr>
          <w:p w14:paraId="7BEF64A0" w14:textId="77777777" w:rsidR="00D24757" w:rsidRDefault="00800425">
            <w:r>
              <w:rPr>
                <w:sz w:val="21"/>
                <w:szCs w:val="21"/>
              </w:rPr>
              <w:t>Priority 1 incidents</w:t>
            </w:r>
          </w:p>
        </w:tc>
        <w:tc>
          <w:tcPr>
            <w:tcW w:w="3700" w:type="dxa"/>
            <w:tcBorders>
              <w:top w:val="single" w:sz="1" w:space="0" w:color="C8CDD6"/>
              <w:left w:val="single" w:sz="1" w:space="0" w:color="C8CDD6"/>
              <w:bottom w:val="single" w:sz="1" w:space="0" w:color="C8CDD6"/>
              <w:right w:val="single" w:sz="1" w:space="0" w:color="C8CDD6"/>
            </w:tcBorders>
            <w:tcMar>
              <w:top w:w="70" w:type="dxa"/>
              <w:left w:w="120" w:type="dxa"/>
              <w:bottom w:w="70" w:type="dxa"/>
              <w:right w:w="120" w:type="dxa"/>
            </w:tcMar>
            <w:vAlign w:val="center"/>
          </w:tcPr>
          <w:p w14:paraId="29F44470" w14:textId="77777777" w:rsidR="00D24757" w:rsidRDefault="00800425">
            <w:r>
              <w:rPr>
                <w:sz w:val="21"/>
                <w:szCs w:val="21"/>
              </w:rPr>
              <w:t>Count of critical incidents per month</w:t>
            </w:r>
          </w:p>
        </w:tc>
        <w:tc>
          <w:tcPr>
            <w:tcW w:w="3060" w:type="dxa"/>
            <w:tcBorders>
              <w:top w:val="single" w:sz="1" w:space="0" w:color="C8CDD6"/>
              <w:left w:val="single" w:sz="1" w:space="0" w:color="C8CDD6"/>
              <w:bottom w:val="single" w:sz="1" w:space="0" w:color="C8CDD6"/>
              <w:right w:val="single" w:sz="1" w:space="0" w:color="C8CDD6"/>
            </w:tcBorders>
            <w:tcMar>
              <w:top w:w="70" w:type="dxa"/>
              <w:left w:w="120" w:type="dxa"/>
              <w:bottom w:w="70" w:type="dxa"/>
              <w:right w:w="120" w:type="dxa"/>
            </w:tcMar>
            <w:vAlign w:val="center"/>
          </w:tcPr>
          <w:p w14:paraId="1AF24F56" w14:textId="77777777" w:rsidR="00D24757" w:rsidRDefault="00800425">
            <w:r>
              <w:rPr>
                <w:sz w:val="21"/>
                <w:szCs w:val="21"/>
              </w:rPr>
              <w:t>Indicates frequency of severe reliability events</w:t>
            </w:r>
          </w:p>
        </w:tc>
      </w:tr>
      <w:tr w:rsidR="00D24757" w14:paraId="37AA1CF8" w14:textId="77777777">
        <w:tc>
          <w:tcPr>
            <w:tcW w:w="2600" w:type="dxa"/>
            <w:tcBorders>
              <w:top w:val="single" w:sz="1" w:space="0" w:color="C8CDD6"/>
              <w:left w:val="single" w:sz="1" w:space="0" w:color="C8CDD6"/>
              <w:bottom w:val="single" w:sz="1" w:space="0" w:color="C8CDD6"/>
              <w:right w:val="single" w:sz="1" w:space="0" w:color="C8CDD6"/>
            </w:tcBorders>
            <w:shd w:val="clear" w:color="auto" w:fill="F4F6FA"/>
            <w:tcMar>
              <w:top w:w="70" w:type="dxa"/>
              <w:left w:w="120" w:type="dxa"/>
              <w:bottom w:w="70" w:type="dxa"/>
              <w:right w:w="120" w:type="dxa"/>
            </w:tcMar>
            <w:vAlign w:val="center"/>
          </w:tcPr>
          <w:p w14:paraId="3F4D725E" w14:textId="77777777" w:rsidR="00D24757" w:rsidRDefault="00800425">
            <w:r>
              <w:rPr>
                <w:sz w:val="21"/>
                <w:szCs w:val="21"/>
              </w:rPr>
              <w:t>Change failure rate</w:t>
            </w:r>
          </w:p>
        </w:tc>
        <w:tc>
          <w:tcPr>
            <w:tcW w:w="3700" w:type="dxa"/>
            <w:tcBorders>
              <w:top w:val="single" w:sz="1" w:space="0" w:color="C8CDD6"/>
              <w:left w:val="single" w:sz="1" w:space="0" w:color="C8CDD6"/>
              <w:bottom w:val="single" w:sz="1" w:space="0" w:color="C8CDD6"/>
              <w:right w:val="single" w:sz="1" w:space="0" w:color="C8CDD6"/>
            </w:tcBorders>
            <w:shd w:val="clear" w:color="auto" w:fill="F4F6FA"/>
            <w:tcMar>
              <w:top w:w="70" w:type="dxa"/>
              <w:left w:w="120" w:type="dxa"/>
              <w:bottom w:w="70" w:type="dxa"/>
              <w:right w:w="120" w:type="dxa"/>
            </w:tcMar>
            <w:vAlign w:val="center"/>
          </w:tcPr>
          <w:p w14:paraId="192950C6" w14:textId="77777777" w:rsidR="00D24757" w:rsidRDefault="00800425">
            <w:r>
              <w:rPr>
                <w:sz w:val="21"/>
                <w:szCs w:val="21"/>
              </w:rPr>
              <w:t>Share of changes that cause an incident or rollback</w:t>
            </w:r>
          </w:p>
        </w:tc>
        <w:tc>
          <w:tcPr>
            <w:tcW w:w="3060" w:type="dxa"/>
            <w:tcBorders>
              <w:top w:val="single" w:sz="1" w:space="0" w:color="C8CDD6"/>
              <w:left w:val="single" w:sz="1" w:space="0" w:color="C8CDD6"/>
              <w:bottom w:val="single" w:sz="1" w:space="0" w:color="C8CDD6"/>
              <w:right w:val="single" w:sz="1" w:space="0" w:color="C8CDD6"/>
            </w:tcBorders>
            <w:shd w:val="clear" w:color="auto" w:fill="F4F6FA"/>
            <w:tcMar>
              <w:top w:w="70" w:type="dxa"/>
              <w:left w:w="120" w:type="dxa"/>
              <w:bottom w:w="70" w:type="dxa"/>
              <w:right w:w="120" w:type="dxa"/>
            </w:tcMar>
            <w:vAlign w:val="center"/>
          </w:tcPr>
          <w:p w14:paraId="610C807D" w14:textId="77777777" w:rsidR="00D24757" w:rsidRDefault="00800425">
            <w:r>
              <w:rPr>
                <w:sz w:val="21"/>
                <w:szCs w:val="21"/>
              </w:rPr>
              <w:t>Links instability to weak change management</w:t>
            </w:r>
          </w:p>
        </w:tc>
      </w:tr>
      <w:tr w:rsidR="00D24757" w14:paraId="73730EF4" w14:textId="77777777">
        <w:tc>
          <w:tcPr>
            <w:tcW w:w="2600" w:type="dxa"/>
            <w:tcBorders>
              <w:top w:val="single" w:sz="1" w:space="0" w:color="C8CDD6"/>
              <w:left w:val="single" w:sz="1" w:space="0" w:color="C8CDD6"/>
              <w:bottom w:val="single" w:sz="1" w:space="0" w:color="C8CDD6"/>
              <w:right w:val="single" w:sz="1" w:space="0" w:color="C8CDD6"/>
            </w:tcBorders>
            <w:tcMar>
              <w:top w:w="70" w:type="dxa"/>
              <w:left w:w="120" w:type="dxa"/>
              <w:bottom w:w="70" w:type="dxa"/>
              <w:right w:w="120" w:type="dxa"/>
            </w:tcMar>
            <w:vAlign w:val="center"/>
          </w:tcPr>
          <w:p w14:paraId="14261C9B" w14:textId="77777777" w:rsidR="00D24757" w:rsidRDefault="00800425">
            <w:r>
              <w:rPr>
                <w:sz w:val="21"/>
                <w:szCs w:val="21"/>
              </w:rPr>
              <w:t>Capacity utilisation</w:t>
            </w:r>
          </w:p>
        </w:tc>
        <w:tc>
          <w:tcPr>
            <w:tcW w:w="3700" w:type="dxa"/>
            <w:tcBorders>
              <w:top w:val="single" w:sz="1" w:space="0" w:color="C8CDD6"/>
              <w:left w:val="single" w:sz="1" w:space="0" w:color="C8CDD6"/>
              <w:bottom w:val="single" w:sz="1" w:space="0" w:color="C8CDD6"/>
              <w:right w:val="single" w:sz="1" w:space="0" w:color="C8CDD6"/>
            </w:tcBorders>
            <w:tcMar>
              <w:top w:w="70" w:type="dxa"/>
              <w:left w:w="120" w:type="dxa"/>
              <w:bottom w:w="70" w:type="dxa"/>
              <w:right w:w="120" w:type="dxa"/>
            </w:tcMar>
            <w:vAlign w:val="center"/>
          </w:tcPr>
          <w:p w14:paraId="152416DD" w14:textId="77777777" w:rsidR="00D24757" w:rsidRDefault="00800425">
            <w:r>
              <w:rPr>
                <w:sz w:val="21"/>
                <w:szCs w:val="21"/>
              </w:rPr>
              <w:t>Peak use of compute, storage and network</w:t>
            </w:r>
          </w:p>
        </w:tc>
        <w:tc>
          <w:tcPr>
            <w:tcW w:w="3060" w:type="dxa"/>
            <w:tcBorders>
              <w:top w:val="single" w:sz="1" w:space="0" w:color="C8CDD6"/>
              <w:left w:val="single" w:sz="1" w:space="0" w:color="C8CDD6"/>
              <w:bottom w:val="single" w:sz="1" w:space="0" w:color="C8CDD6"/>
              <w:right w:val="single" w:sz="1" w:space="0" w:color="C8CDD6"/>
            </w:tcBorders>
            <w:tcMar>
              <w:top w:w="70" w:type="dxa"/>
              <w:left w:w="120" w:type="dxa"/>
              <w:bottom w:w="70" w:type="dxa"/>
              <w:right w:w="120" w:type="dxa"/>
            </w:tcMar>
            <w:vAlign w:val="center"/>
          </w:tcPr>
          <w:p w14:paraId="248DEABD" w14:textId="77777777" w:rsidR="00D24757" w:rsidRDefault="00800425">
            <w:r>
              <w:rPr>
                <w:sz w:val="21"/>
                <w:szCs w:val="21"/>
              </w:rPr>
              <w:t>Warns of failures driven by demand exceeding capacity</w:t>
            </w:r>
          </w:p>
        </w:tc>
      </w:tr>
      <w:tr w:rsidR="00D24757" w14:paraId="50D700BE" w14:textId="77777777">
        <w:tc>
          <w:tcPr>
            <w:tcW w:w="2600" w:type="dxa"/>
            <w:tcBorders>
              <w:top w:val="single" w:sz="1" w:space="0" w:color="C8CDD6"/>
              <w:left w:val="single" w:sz="1" w:space="0" w:color="C8CDD6"/>
              <w:bottom w:val="single" w:sz="1" w:space="0" w:color="C8CDD6"/>
              <w:right w:val="single" w:sz="1" w:space="0" w:color="C8CDD6"/>
            </w:tcBorders>
            <w:shd w:val="clear" w:color="auto" w:fill="F4F6FA"/>
            <w:tcMar>
              <w:top w:w="70" w:type="dxa"/>
              <w:left w:w="120" w:type="dxa"/>
              <w:bottom w:w="70" w:type="dxa"/>
              <w:right w:w="120" w:type="dxa"/>
            </w:tcMar>
            <w:vAlign w:val="center"/>
          </w:tcPr>
          <w:p w14:paraId="20118C9F" w14:textId="77777777" w:rsidR="00D24757" w:rsidRDefault="00800425">
            <w:r>
              <w:rPr>
                <w:sz w:val="21"/>
                <w:szCs w:val="21"/>
              </w:rPr>
              <w:t>Backup success rate</w:t>
            </w:r>
          </w:p>
        </w:tc>
        <w:tc>
          <w:tcPr>
            <w:tcW w:w="3700" w:type="dxa"/>
            <w:tcBorders>
              <w:top w:val="single" w:sz="1" w:space="0" w:color="C8CDD6"/>
              <w:left w:val="single" w:sz="1" w:space="0" w:color="C8CDD6"/>
              <w:bottom w:val="single" w:sz="1" w:space="0" w:color="C8CDD6"/>
              <w:right w:val="single" w:sz="1" w:space="0" w:color="C8CDD6"/>
            </w:tcBorders>
            <w:shd w:val="clear" w:color="auto" w:fill="F4F6FA"/>
            <w:tcMar>
              <w:top w:w="70" w:type="dxa"/>
              <w:left w:w="120" w:type="dxa"/>
              <w:bottom w:w="70" w:type="dxa"/>
              <w:right w:w="120" w:type="dxa"/>
            </w:tcMar>
            <w:vAlign w:val="center"/>
          </w:tcPr>
          <w:p w14:paraId="5C4C6B7A" w14:textId="77777777" w:rsidR="00D24757" w:rsidRDefault="00800425">
            <w:r>
              <w:rPr>
                <w:sz w:val="21"/>
                <w:szCs w:val="21"/>
              </w:rPr>
              <w:t>Share of scheduled backups completing successfully</w:t>
            </w:r>
          </w:p>
        </w:tc>
        <w:tc>
          <w:tcPr>
            <w:tcW w:w="3060" w:type="dxa"/>
            <w:tcBorders>
              <w:top w:val="single" w:sz="1" w:space="0" w:color="C8CDD6"/>
              <w:left w:val="single" w:sz="1" w:space="0" w:color="C8CDD6"/>
              <w:bottom w:val="single" w:sz="1" w:space="0" w:color="C8CDD6"/>
              <w:right w:val="single" w:sz="1" w:space="0" w:color="C8CDD6"/>
            </w:tcBorders>
            <w:shd w:val="clear" w:color="auto" w:fill="F4F6FA"/>
            <w:tcMar>
              <w:top w:w="70" w:type="dxa"/>
              <w:left w:w="120" w:type="dxa"/>
              <w:bottom w:w="70" w:type="dxa"/>
              <w:right w:w="120" w:type="dxa"/>
            </w:tcMar>
            <w:vAlign w:val="center"/>
          </w:tcPr>
          <w:p w14:paraId="7AC41E9A" w14:textId="77777777" w:rsidR="00D24757" w:rsidRDefault="00800425">
            <w:r>
              <w:rPr>
                <w:sz w:val="21"/>
                <w:szCs w:val="21"/>
              </w:rPr>
              <w:t>Underpins recoverability and data availability</w:t>
            </w:r>
          </w:p>
        </w:tc>
      </w:tr>
    </w:tbl>
    <w:p w14:paraId="63444A2B" w14:textId="77777777" w:rsidR="00D24757" w:rsidRDefault="00D24757">
      <w:pPr>
        <w:spacing w:after="140" w:line="276" w:lineRule="auto"/>
      </w:pPr>
    </w:p>
    <w:p w14:paraId="4DDE48F5" w14:textId="77777777" w:rsidR="00D24757" w:rsidRDefault="00800425">
      <w:pPr>
        <w:spacing w:before="100" w:after="60"/>
        <w:jc w:val="center"/>
      </w:pPr>
      <w:r>
        <w:rPr>
          <w:noProof/>
        </w:rPr>
        <w:drawing>
          <wp:inline distT="0" distB="0" distL="0" distR="0" wp14:anchorId="2C75DF9A" wp14:editId="410FD775">
            <wp:extent cx="5715000" cy="3171825"/>
            <wp:effectExtent l="0" t="0" r="0" b="0"/>
            <wp:docPr id="638578611" name="Key risk indicator status snapshot" descr="Key risk indicator status snapshot" title="Key risk indicator status snap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171825"/>
                    </a:xfrm>
                    <a:prstGeom prst="rect">
                      <a:avLst/>
                    </a:prstGeom>
                  </pic:spPr>
                </pic:pic>
              </a:graphicData>
            </a:graphic>
          </wp:inline>
        </w:drawing>
      </w:r>
    </w:p>
    <w:p w14:paraId="63A1CA13" w14:textId="77777777" w:rsidR="00D24757" w:rsidRDefault="00800425">
      <w:pPr>
        <w:spacing w:after="200"/>
        <w:jc w:val="center"/>
      </w:pPr>
      <w:r>
        <w:rPr>
          <w:i/>
          <w:iCs/>
          <w:color w:val="5A5A5A"/>
          <w:sz w:val="18"/>
          <w:szCs w:val="18"/>
        </w:rPr>
        <w:t>Figure 2. Current status of each key risk indicator on a green to red scale.</w:t>
      </w:r>
    </w:p>
    <w:p w14:paraId="50D22A65" w14:textId="77777777" w:rsidR="00D24757" w:rsidRDefault="00800425" w:rsidP="000179FF">
      <w:pPr>
        <w:spacing w:after="140" w:line="276" w:lineRule="auto"/>
        <w:jc w:val="both"/>
      </w:pPr>
      <w:r>
        <w:t>The current snapshot shows priority 1 incidents in red and recovery time, change failure rate and capacity utilisation in amber. Availability and backup success remain green. The pattern is consistent with the problem statement, pointing to instability and capacity pressure rather than a single isolated fault.</w:t>
      </w:r>
    </w:p>
    <w:p w14:paraId="29B14952" w14:textId="77777777" w:rsidR="00D24757" w:rsidRDefault="00800425">
      <w:pPr>
        <w:pStyle w:val="Heading1"/>
        <w:pageBreakBefore/>
      </w:pPr>
      <w:bookmarkStart w:id="8" w:name="_Toc231294579"/>
      <w:r>
        <w:t>7. Traffic Light Thresholds</w:t>
      </w:r>
      <w:bookmarkEnd w:id="8"/>
    </w:p>
    <w:p w14:paraId="1156A675" w14:textId="77777777" w:rsidR="00D24757" w:rsidRDefault="00800425" w:rsidP="000179FF">
      <w:pPr>
        <w:spacing w:after="140" w:line="276" w:lineRule="auto"/>
        <w:jc w:val="both"/>
      </w:pPr>
      <w:r>
        <w:t>Each indicator is governed by traffic light thresholds. Green is within appetite, amber is a warning that requires review and a remediation plan, and red is a breach that requires escalation and management action.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0"/>
        <w:gridCol w:w="1700"/>
        <w:gridCol w:w="1700"/>
        <w:gridCol w:w="1700"/>
        <w:gridCol w:w="1780"/>
      </w:tblGrid>
      <w:tr w:rsidR="00D24757" w14:paraId="3C978B7D" w14:textId="77777777">
        <w:trPr>
          <w:tblHeader/>
        </w:trPr>
        <w:tc>
          <w:tcPr>
            <w:tcW w:w="2480" w:type="dxa"/>
            <w:tcBorders>
              <w:top w:val="single" w:sz="1" w:space="0" w:color="C8CDD6"/>
              <w:left w:val="single" w:sz="1" w:space="0" w:color="C8CDD6"/>
              <w:bottom w:val="single" w:sz="1" w:space="0" w:color="C8CDD6"/>
              <w:right w:val="single" w:sz="1" w:space="0" w:color="C8CDD6"/>
            </w:tcBorders>
            <w:shd w:val="clear" w:color="auto" w:fill="1F3864"/>
            <w:tcMar>
              <w:top w:w="70" w:type="dxa"/>
              <w:left w:w="120" w:type="dxa"/>
              <w:bottom w:w="70" w:type="dxa"/>
              <w:right w:w="120" w:type="dxa"/>
            </w:tcMar>
            <w:vAlign w:val="center"/>
          </w:tcPr>
          <w:p w14:paraId="443C9DE9" w14:textId="77777777" w:rsidR="00D24757" w:rsidRDefault="00800425">
            <w:r>
              <w:rPr>
                <w:b/>
                <w:bCs/>
                <w:color w:val="FFFFFF"/>
                <w:sz w:val="21"/>
                <w:szCs w:val="21"/>
              </w:rPr>
              <w:t>Indicator</w:t>
            </w:r>
          </w:p>
        </w:tc>
        <w:tc>
          <w:tcPr>
            <w:tcW w:w="1700" w:type="dxa"/>
            <w:tcBorders>
              <w:top w:val="single" w:sz="1" w:space="0" w:color="C8CDD6"/>
              <w:left w:val="single" w:sz="1" w:space="0" w:color="C8CDD6"/>
              <w:bottom w:val="single" w:sz="1" w:space="0" w:color="C8CDD6"/>
              <w:right w:val="single" w:sz="1" w:space="0" w:color="C8CDD6"/>
            </w:tcBorders>
            <w:shd w:val="clear" w:color="auto" w:fill="1F3864"/>
            <w:tcMar>
              <w:top w:w="70" w:type="dxa"/>
              <w:left w:w="120" w:type="dxa"/>
              <w:bottom w:w="70" w:type="dxa"/>
              <w:right w:w="120" w:type="dxa"/>
            </w:tcMar>
            <w:vAlign w:val="center"/>
          </w:tcPr>
          <w:p w14:paraId="6482D174" w14:textId="77777777" w:rsidR="00D24757" w:rsidRDefault="00800425">
            <w:r>
              <w:rPr>
                <w:b/>
                <w:bCs/>
                <w:color w:val="FFFFFF"/>
                <w:sz w:val="21"/>
                <w:szCs w:val="21"/>
              </w:rPr>
              <w:t>Green</w:t>
            </w:r>
          </w:p>
        </w:tc>
        <w:tc>
          <w:tcPr>
            <w:tcW w:w="1700" w:type="dxa"/>
            <w:tcBorders>
              <w:top w:val="single" w:sz="1" w:space="0" w:color="C8CDD6"/>
              <w:left w:val="single" w:sz="1" w:space="0" w:color="C8CDD6"/>
              <w:bottom w:val="single" w:sz="1" w:space="0" w:color="C8CDD6"/>
              <w:right w:val="single" w:sz="1" w:space="0" w:color="C8CDD6"/>
            </w:tcBorders>
            <w:shd w:val="clear" w:color="auto" w:fill="1F3864"/>
            <w:tcMar>
              <w:top w:w="70" w:type="dxa"/>
              <w:left w:w="120" w:type="dxa"/>
              <w:bottom w:w="70" w:type="dxa"/>
              <w:right w:w="120" w:type="dxa"/>
            </w:tcMar>
            <w:vAlign w:val="center"/>
          </w:tcPr>
          <w:p w14:paraId="09AA38DE" w14:textId="77777777" w:rsidR="00D24757" w:rsidRDefault="00800425">
            <w:r>
              <w:rPr>
                <w:b/>
                <w:bCs/>
                <w:color w:val="FFFFFF"/>
                <w:sz w:val="21"/>
                <w:szCs w:val="21"/>
              </w:rPr>
              <w:t>Amber</w:t>
            </w:r>
          </w:p>
        </w:tc>
        <w:tc>
          <w:tcPr>
            <w:tcW w:w="1700" w:type="dxa"/>
            <w:tcBorders>
              <w:top w:val="single" w:sz="1" w:space="0" w:color="C8CDD6"/>
              <w:left w:val="single" w:sz="1" w:space="0" w:color="C8CDD6"/>
              <w:bottom w:val="single" w:sz="1" w:space="0" w:color="C8CDD6"/>
              <w:right w:val="single" w:sz="1" w:space="0" w:color="C8CDD6"/>
            </w:tcBorders>
            <w:shd w:val="clear" w:color="auto" w:fill="1F3864"/>
            <w:tcMar>
              <w:top w:w="70" w:type="dxa"/>
              <w:left w:w="120" w:type="dxa"/>
              <w:bottom w:w="70" w:type="dxa"/>
              <w:right w:w="120" w:type="dxa"/>
            </w:tcMar>
            <w:vAlign w:val="center"/>
          </w:tcPr>
          <w:p w14:paraId="62545B70" w14:textId="77777777" w:rsidR="00D24757" w:rsidRDefault="00800425">
            <w:r>
              <w:rPr>
                <w:b/>
                <w:bCs/>
                <w:color w:val="FFFFFF"/>
                <w:sz w:val="21"/>
                <w:szCs w:val="21"/>
              </w:rPr>
              <w:t>Red</w:t>
            </w:r>
          </w:p>
        </w:tc>
        <w:tc>
          <w:tcPr>
            <w:tcW w:w="1780" w:type="dxa"/>
            <w:tcBorders>
              <w:top w:val="single" w:sz="1" w:space="0" w:color="C8CDD6"/>
              <w:left w:val="single" w:sz="1" w:space="0" w:color="C8CDD6"/>
              <w:bottom w:val="single" w:sz="1" w:space="0" w:color="C8CDD6"/>
              <w:right w:val="single" w:sz="1" w:space="0" w:color="C8CDD6"/>
            </w:tcBorders>
            <w:shd w:val="clear" w:color="auto" w:fill="1F3864"/>
            <w:tcMar>
              <w:top w:w="70" w:type="dxa"/>
              <w:left w:w="120" w:type="dxa"/>
              <w:bottom w:w="70" w:type="dxa"/>
              <w:right w:w="120" w:type="dxa"/>
            </w:tcMar>
            <w:vAlign w:val="center"/>
          </w:tcPr>
          <w:p w14:paraId="5944B9C4" w14:textId="77777777" w:rsidR="00D24757" w:rsidRDefault="00800425">
            <w:r>
              <w:rPr>
                <w:b/>
                <w:bCs/>
                <w:color w:val="FFFFFF"/>
                <w:sz w:val="21"/>
                <w:szCs w:val="21"/>
              </w:rPr>
              <w:t>Red action</w:t>
            </w:r>
          </w:p>
        </w:tc>
      </w:tr>
      <w:tr w:rsidR="00D24757" w14:paraId="0297B407" w14:textId="77777777">
        <w:tc>
          <w:tcPr>
            <w:tcW w:w="2480" w:type="dxa"/>
            <w:tcBorders>
              <w:top w:val="single" w:sz="1" w:space="0" w:color="C8CDD6"/>
              <w:left w:val="single" w:sz="1" w:space="0" w:color="C8CDD6"/>
              <w:bottom w:val="single" w:sz="1" w:space="0" w:color="C8CDD6"/>
              <w:right w:val="single" w:sz="1" w:space="0" w:color="C8CDD6"/>
            </w:tcBorders>
            <w:tcMar>
              <w:top w:w="70" w:type="dxa"/>
              <w:left w:w="120" w:type="dxa"/>
              <w:bottom w:w="70" w:type="dxa"/>
              <w:right w:w="120" w:type="dxa"/>
            </w:tcMar>
            <w:vAlign w:val="center"/>
          </w:tcPr>
          <w:p w14:paraId="1CCF1AD8" w14:textId="77777777" w:rsidR="00D24757" w:rsidRDefault="00800425">
            <w:r>
              <w:rPr>
                <w:b/>
                <w:bCs/>
                <w:sz w:val="21"/>
                <w:szCs w:val="21"/>
              </w:rPr>
              <w:t>System availability</w:t>
            </w:r>
          </w:p>
        </w:tc>
        <w:tc>
          <w:tcPr>
            <w:tcW w:w="1700" w:type="dxa"/>
            <w:tcBorders>
              <w:top w:val="single" w:sz="1" w:space="0" w:color="C8CDD6"/>
              <w:left w:val="single" w:sz="1" w:space="0" w:color="C8CDD6"/>
              <w:bottom w:val="single" w:sz="1" w:space="0" w:color="C8CDD6"/>
              <w:right w:val="single" w:sz="1" w:space="0" w:color="C8CDD6"/>
            </w:tcBorders>
            <w:tcMar>
              <w:top w:w="70" w:type="dxa"/>
              <w:left w:w="120" w:type="dxa"/>
              <w:bottom w:w="70" w:type="dxa"/>
              <w:right w:w="120" w:type="dxa"/>
            </w:tcMar>
            <w:vAlign w:val="center"/>
          </w:tcPr>
          <w:p w14:paraId="5045A18A" w14:textId="77777777" w:rsidR="00D24757" w:rsidRDefault="00800425">
            <w:r>
              <w:rPr>
                <w:b/>
                <w:bCs/>
                <w:color w:val="2E8B57"/>
                <w:sz w:val="21"/>
                <w:szCs w:val="21"/>
              </w:rPr>
              <w:t>≥ 99.95%</w:t>
            </w:r>
          </w:p>
        </w:tc>
        <w:tc>
          <w:tcPr>
            <w:tcW w:w="1700" w:type="dxa"/>
            <w:tcBorders>
              <w:top w:val="single" w:sz="1" w:space="0" w:color="C8CDD6"/>
              <w:left w:val="single" w:sz="1" w:space="0" w:color="C8CDD6"/>
              <w:bottom w:val="single" w:sz="1" w:space="0" w:color="C8CDD6"/>
              <w:right w:val="single" w:sz="1" w:space="0" w:color="C8CDD6"/>
            </w:tcBorders>
            <w:tcMar>
              <w:top w:w="70" w:type="dxa"/>
              <w:left w:w="120" w:type="dxa"/>
              <w:bottom w:w="70" w:type="dxa"/>
              <w:right w:w="120" w:type="dxa"/>
            </w:tcMar>
            <w:vAlign w:val="center"/>
          </w:tcPr>
          <w:p w14:paraId="1A531981" w14:textId="77777777" w:rsidR="00D24757" w:rsidRDefault="00800425">
            <w:r>
              <w:rPr>
                <w:color w:val="C9870B"/>
                <w:sz w:val="21"/>
                <w:szCs w:val="21"/>
              </w:rPr>
              <w:t>99.5 to 99.95%</w:t>
            </w:r>
          </w:p>
        </w:tc>
        <w:tc>
          <w:tcPr>
            <w:tcW w:w="1700" w:type="dxa"/>
            <w:tcBorders>
              <w:top w:val="single" w:sz="1" w:space="0" w:color="C8CDD6"/>
              <w:left w:val="single" w:sz="1" w:space="0" w:color="C8CDD6"/>
              <w:bottom w:val="single" w:sz="1" w:space="0" w:color="C8CDD6"/>
              <w:right w:val="single" w:sz="1" w:space="0" w:color="C8CDD6"/>
            </w:tcBorders>
            <w:tcMar>
              <w:top w:w="70" w:type="dxa"/>
              <w:left w:w="120" w:type="dxa"/>
              <w:bottom w:w="70" w:type="dxa"/>
              <w:right w:w="120" w:type="dxa"/>
            </w:tcMar>
            <w:vAlign w:val="center"/>
          </w:tcPr>
          <w:p w14:paraId="010632B3" w14:textId="77777777" w:rsidR="00D24757" w:rsidRDefault="00800425">
            <w:r>
              <w:rPr>
                <w:b/>
                <w:bCs/>
                <w:color w:val="C0392B"/>
                <w:sz w:val="21"/>
                <w:szCs w:val="21"/>
              </w:rPr>
              <w:t>&lt; 99.5%</w:t>
            </w:r>
          </w:p>
        </w:tc>
        <w:tc>
          <w:tcPr>
            <w:tcW w:w="1780" w:type="dxa"/>
            <w:tcBorders>
              <w:top w:val="single" w:sz="1" w:space="0" w:color="C8CDD6"/>
              <w:left w:val="single" w:sz="1" w:space="0" w:color="C8CDD6"/>
              <w:bottom w:val="single" w:sz="1" w:space="0" w:color="C8CDD6"/>
              <w:right w:val="single" w:sz="1" w:space="0" w:color="C8CDD6"/>
            </w:tcBorders>
            <w:tcMar>
              <w:top w:w="70" w:type="dxa"/>
              <w:left w:w="120" w:type="dxa"/>
              <w:bottom w:w="70" w:type="dxa"/>
              <w:right w:w="120" w:type="dxa"/>
            </w:tcMar>
            <w:vAlign w:val="center"/>
          </w:tcPr>
          <w:p w14:paraId="65D39F6B" w14:textId="77777777" w:rsidR="00D24757" w:rsidRDefault="00800425">
            <w:r>
              <w:rPr>
                <w:sz w:val="21"/>
                <w:szCs w:val="21"/>
              </w:rPr>
              <w:t>Escalate to head of technology</w:t>
            </w:r>
          </w:p>
        </w:tc>
      </w:tr>
      <w:tr w:rsidR="00D24757" w14:paraId="50F19F74" w14:textId="77777777">
        <w:tc>
          <w:tcPr>
            <w:tcW w:w="2480" w:type="dxa"/>
            <w:tcBorders>
              <w:top w:val="single" w:sz="1" w:space="0" w:color="C8CDD6"/>
              <w:left w:val="single" w:sz="1" w:space="0" w:color="C8CDD6"/>
              <w:bottom w:val="single" w:sz="1" w:space="0" w:color="C8CDD6"/>
              <w:right w:val="single" w:sz="1" w:space="0" w:color="C8CDD6"/>
            </w:tcBorders>
            <w:shd w:val="clear" w:color="auto" w:fill="F4F6FA"/>
            <w:tcMar>
              <w:top w:w="70" w:type="dxa"/>
              <w:left w:w="120" w:type="dxa"/>
              <w:bottom w:w="70" w:type="dxa"/>
              <w:right w:w="120" w:type="dxa"/>
            </w:tcMar>
            <w:vAlign w:val="center"/>
          </w:tcPr>
          <w:p w14:paraId="10E21B8E" w14:textId="77777777" w:rsidR="00D24757" w:rsidRDefault="00800425">
            <w:r>
              <w:rPr>
                <w:b/>
                <w:bCs/>
                <w:sz w:val="21"/>
                <w:szCs w:val="21"/>
              </w:rPr>
              <w:t>Mean time to recovery</w:t>
            </w:r>
          </w:p>
        </w:tc>
        <w:tc>
          <w:tcPr>
            <w:tcW w:w="1700" w:type="dxa"/>
            <w:tcBorders>
              <w:top w:val="single" w:sz="1" w:space="0" w:color="C8CDD6"/>
              <w:left w:val="single" w:sz="1" w:space="0" w:color="C8CDD6"/>
              <w:bottom w:val="single" w:sz="1" w:space="0" w:color="C8CDD6"/>
              <w:right w:val="single" w:sz="1" w:space="0" w:color="C8CDD6"/>
            </w:tcBorders>
            <w:shd w:val="clear" w:color="auto" w:fill="F4F6FA"/>
            <w:tcMar>
              <w:top w:w="70" w:type="dxa"/>
              <w:left w:w="120" w:type="dxa"/>
              <w:bottom w:w="70" w:type="dxa"/>
              <w:right w:w="120" w:type="dxa"/>
            </w:tcMar>
            <w:vAlign w:val="center"/>
          </w:tcPr>
          <w:p w14:paraId="4D47D41B" w14:textId="77777777" w:rsidR="00D24757" w:rsidRDefault="00800425">
            <w:r>
              <w:rPr>
                <w:b/>
                <w:bCs/>
                <w:color w:val="2E8B57"/>
                <w:sz w:val="21"/>
                <w:szCs w:val="21"/>
              </w:rPr>
              <w:t>≤ 2 hrs</w:t>
            </w:r>
          </w:p>
        </w:tc>
        <w:tc>
          <w:tcPr>
            <w:tcW w:w="1700" w:type="dxa"/>
            <w:tcBorders>
              <w:top w:val="single" w:sz="1" w:space="0" w:color="C8CDD6"/>
              <w:left w:val="single" w:sz="1" w:space="0" w:color="C8CDD6"/>
              <w:bottom w:val="single" w:sz="1" w:space="0" w:color="C8CDD6"/>
              <w:right w:val="single" w:sz="1" w:space="0" w:color="C8CDD6"/>
            </w:tcBorders>
            <w:shd w:val="clear" w:color="auto" w:fill="F4F6FA"/>
            <w:tcMar>
              <w:top w:w="70" w:type="dxa"/>
              <w:left w:w="120" w:type="dxa"/>
              <w:bottom w:w="70" w:type="dxa"/>
              <w:right w:w="120" w:type="dxa"/>
            </w:tcMar>
            <w:vAlign w:val="center"/>
          </w:tcPr>
          <w:p w14:paraId="57A0DF28" w14:textId="77777777" w:rsidR="00D24757" w:rsidRDefault="00800425">
            <w:r>
              <w:rPr>
                <w:color w:val="C9870B"/>
                <w:sz w:val="21"/>
                <w:szCs w:val="21"/>
              </w:rPr>
              <w:t>2 to 4 hrs</w:t>
            </w:r>
          </w:p>
        </w:tc>
        <w:tc>
          <w:tcPr>
            <w:tcW w:w="1700" w:type="dxa"/>
            <w:tcBorders>
              <w:top w:val="single" w:sz="1" w:space="0" w:color="C8CDD6"/>
              <w:left w:val="single" w:sz="1" w:space="0" w:color="C8CDD6"/>
              <w:bottom w:val="single" w:sz="1" w:space="0" w:color="C8CDD6"/>
              <w:right w:val="single" w:sz="1" w:space="0" w:color="C8CDD6"/>
            </w:tcBorders>
            <w:shd w:val="clear" w:color="auto" w:fill="F4F6FA"/>
            <w:tcMar>
              <w:top w:w="70" w:type="dxa"/>
              <w:left w:w="120" w:type="dxa"/>
              <w:bottom w:w="70" w:type="dxa"/>
              <w:right w:w="120" w:type="dxa"/>
            </w:tcMar>
            <w:vAlign w:val="center"/>
          </w:tcPr>
          <w:p w14:paraId="519DE915" w14:textId="77777777" w:rsidR="00D24757" w:rsidRDefault="00800425">
            <w:r>
              <w:rPr>
                <w:b/>
                <w:bCs/>
                <w:color w:val="C0392B"/>
                <w:sz w:val="21"/>
                <w:szCs w:val="21"/>
              </w:rPr>
              <w:t>&gt; 4 hrs</w:t>
            </w:r>
          </w:p>
        </w:tc>
        <w:tc>
          <w:tcPr>
            <w:tcW w:w="1780" w:type="dxa"/>
            <w:tcBorders>
              <w:top w:val="single" w:sz="1" w:space="0" w:color="C8CDD6"/>
              <w:left w:val="single" w:sz="1" w:space="0" w:color="C8CDD6"/>
              <w:bottom w:val="single" w:sz="1" w:space="0" w:color="C8CDD6"/>
              <w:right w:val="single" w:sz="1" w:space="0" w:color="C8CDD6"/>
            </w:tcBorders>
            <w:shd w:val="clear" w:color="auto" w:fill="F4F6FA"/>
            <w:tcMar>
              <w:top w:w="70" w:type="dxa"/>
              <w:left w:w="120" w:type="dxa"/>
              <w:bottom w:w="70" w:type="dxa"/>
              <w:right w:w="120" w:type="dxa"/>
            </w:tcMar>
            <w:vAlign w:val="center"/>
          </w:tcPr>
          <w:p w14:paraId="3203A585" w14:textId="77777777" w:rsidR="00D24757" w:rsidRDefault="00800425">
            <w:r>
              <w:rPr>
                <w:sz w:val="21"/>
                <w:szCs w:val="21"/>
              </w:rPr>
              <w:t>Invoke major incident review</w:t>
            </w:r>
          </w:p>
        </w:tc>
      </w:tr>
      <w:tr w:rsidR="00D24757" w14:paraId="22D9282D" w14:textId="77777777">
        <w:tc>
          <w:tcPr>
            <w:tcW w:w="2480" w:type="dxa"/>
            <w:tcBorders>
              <w:top w:val="single" w:sz="1" w:space="0" w:color="C8CDD6"/>
              <w:left w:val="single" w:sz="1" w:space="0" w:color="C8CDD6"/>
              <w:bottom w:val="single" w:sz="1" w:space="0" w:color="C8CDD6"/>
              <w:right w:val="single" w:sz="1" w:space="0" w:color="C8CDD6"/>
            </w:tcBorders>
            <w:tcMar>
              <w:top w:w="70" w:type="dxa"/>
              <w:left w:w="120" w:type="dxa"/>
              <w:bottom w:w="70" w:type="dxa"/>
              <w:right w:w="120" w:type="dxa"/>
            </w:tcMar>
            <w:vAlign w:val="center"/>
          </w:tcPr>
          <w:p w14:paraId="607F118F" w14:textId="77777777" w:rsidR="00D24757" w:rsidRDefault="00800425">
            <w:r>
              <w:rPr>
                <w:b/>
                <w:bCs/>
                <w:sz w:val="21"/>
                <w:szCs w:val="21"/>
              </w:rPr>
              <w:t>Priority 1 incidents</w:t>
            </w:r>
          </w:p>
        </w:tc>
        <w:tc>
          <w:tcPr>
            <w:tcW w:w="1700" w:type="dxa"/>
            <w:tcBorders>
              <w:top w:val="single" w:sz="1" w:space="0" w:color="C8CDD6"/>
              <w:left w:val="single" w:sz="1" w:space="0" w:color="C8CDD6"/>
              <w:bottom w:val="single" w:sz="1" w:space="0" w:color="C8CDD6"/>
              <w:right w:val="single" w:sz="1" w:space="0" w:color="C8CDD6"/>
            </w:tcBorders>
            <w:tcMar>
              <w:top w:w="70" w:type="dxa"/>
              <w:left w:w="120" w:type="dxa"/>
              <w:bottom w:w="70" w:type="dxa"/>
              <w:right w:w="120" w:type="dxa"/>
            </w:tcMar>
            <w:vAlign w:val="center"/>
          </w:tcPr>
          <w:p w14:paraId="05D194C9" w14:textId="77777777" w:rsidR="00D24757" w:rsidRDefault="00800425">
            <w:r>
              <w:rPr>
                <w:b/>
                <w:bCs/>
                <w:color w:val="2E8B57"/>
                <w:sz w:val="21"/>
                <w:szCs w:val="21"/>
              </w:rPr>
              <w:t>0 per month</w:t>
            </w:r>
          </w:p>
        </w:tc>
        <w:tc>
          <w:tcPr>
            <w:tcW w:w="1700" w:type="dxa"/>
            <w:tcBorders>
              <w:top w:val="single" w:sz="1" w:space="0" w:color="C8CDD6"/>
              <w:left w:val="single" w:sz="1" w:space="0" w:color="C8CDD6"/>
              <w:bottom w:val="single" w:sz="1" w:space="0" w:color="C8CDD6"/>
              <w:right w:val="single" w:sz="1" w:space="0" w:color="C8CDD6"/>
            </w:tcBorders>
            <w:tcMar>
              <w:top w:w="70" w:type="dxa"/>
              <w:left w:w="120" w:type="dxa"/>
              <w:bottom w:w="70" w:type="dxa"/>
              <w:right w:w="120" w:type="dxa"/>
            </w:tcMar>
            <w:vAlign w:val="center"/>
          </w:tcPr>
          <w:p w14:paraId="5445A3D5" w14:textId="77777777" w:rsidR="00D24757" w:rsidRDefault="00800425">
            <w:r>
              <w:rPr>
                <w:color w:val="C9870B"/>
                <w:sz w:val="21"/>
                <w:szCs w:val="21"/>
              </w:rPr>
              <w:t>1 to 2</w:t>
            </w:r>
          </w:p>
        </w:tc>
        <w:tc>
          <w:tcPr>
            <w:tcW w:w="1700" w:type="dxa"/>
            <w:tcBorders>
              <w:top w:val="single" w:sz="1" w:space="0" w:color="C8CDD6"/>
              <w:left w:val="single" w:sz="1" w:space="0" w:color="C8CDD6"/>
              <w:bottom w:val="single" w:sz="1" w:space="0" w:color="C8CDD6"/>
              <w:right w:val="single" w:sz="1" w:space="0" w:color="C8CDD6"/>
            </w:tcBorders>
            <w:tcMar>
              <w:top w:w="70" w:type="dxa"/>
              <w:left w:w="120" w:type="dxa"/>
              <w:bottom w:w="70" w:type="dxa"/>
              <w:right w:w="120" w:type="dxa"/>
            </w:tcMar>
            <w:vAlign w:val="center"/>
          </w:tcPr>
          <w:p w14:paraId="0EAB00CB" w14:textId="77777777" w:rsidR="00D24757" w:rsidRDefault="00800425">
            <w:r>
              <w:rPr>
                <w:b/>
                <w:bCs/>
                <w:color w:val="C0392B"/>
                <w:sz w:val="21"/>
                <w:szCs w:val="21"/>
              </w:rPr>
              <w:t>≥ 3</w:t>
            </w:r>
          </w:p>
        </w:tc>
        <w:tc>
          <w:tcPr>
            <w:tcW w:w="1780" w:type="dxa"/>
            <w:tcBorders>
              <w:top w:val="single" w:sz="1" w:space="0" w:color="C8CDD6"/>
              <w:left w:val="single" w:sz="1" w:space="0" w:color="C8CDD6"/>
              <w:bottom w:val="single" w:sz="1" w:space="0" w:color="C8CDD6"/>
              <w:right w:val="single" w:sz="1" w:space="0" w:color="C8CDD6"/>
            </w:tcBorders>
            <w:tcMar>
              <w:top w:w="70" w:type="dxa"/>
              <w:left w:w="120" w:type="dxa"/>
              <w:bottom w:w="70" w:type="dxa"/>
              <w:right w:w="120" w:type="dxa"/>
            </w:tcMar>
            <w:vAlign w:val="center"/>
          </w:tcPr>
          <w:p w14:paraId="514A1A20" w14:textId="77777777" w:rsidR="00D24757" w:rsidRDefault="00800425">
            <w:r>
              <w:rPr>
                <w:sz w:val="21"/>
                <w:szCs w:val="21"/>
              </w:rPr>
              <w:t>Root cause and board reporting</w:t>
            </w:r>
          </w:p>
        </w:tc>
      </w:tr>
      <w:tr w:rsidR="00D24757" w14:paraId="31FD6550" w14:textId="77777777">
        <w:tc>
          <w:tcPr>
            <w:tcW w:w="2480" w:type="dxa"/>
            <w:tcBorders>
              <w:top w:val="single" w:sz="1" w:space="0" w:color="C8CDD6"/>
              <w:left w:val="single" w:sz="1" w:space="0" w:color="C8CDD6"/>
              <w:bottom w:val="single" w:sz="1" w:space="0" w:color="C8CDD6"/>
              <w:right w:val="single" w:sz="1" w:space="0" w:color="C8CDD6"/>
            </w:tcBorders>
            <w:shd w:val="clear" w:color="auto" w:fill="F4F6FA"/>
            <w:tcMar>
              <w:top w:w="70" w:type="dxa"/>
              <w:left w:w="120" w:type="dxa"/>
              <w:bottom w:w="70" w:type="dxa"/>
              <w:right w:w="120" w:type="dxa"/>
            </w:tcMar>
            <w:vAlign w:val="center"/>
          </w:tcPr>
          <w:p w14:paraId="7FE7050F" w14:textId="77777777" w:rsidR="00D24757" w:rsidRDefault="00800425">
            <w:r>
              <w:rPr>
                <w:b/>
                <w:bCs/>
                <w:sz w:val="21"/>
                <w:szCs w:val="21"/>
              </w:rPr>
              <w:t>Change failure rate</w:t>
            </w:r>
          </w:p>
        </w:tc>
        <w:tc>
          <w:tcPr>
            <w:tcW w:w="1700" w:type="dxa"/>
            <w:tcBorders>
              <w:top w:val="single" w:sz="1" w:space="0" w:color="C8CDD6"/>
              <w:left w:val="single" w:sz="1" w:space="0" w:color="C8CDD6"/>
              <w:bottom w:val="single" w:sz="1" w:space="0" w:color="C8CDD6"/>
              <w:right w:val="single" w:sz="1" w:space="0" w:color="C8CDD6"/>
            </w:tcBorders>
            <w:shd w:val="clear" w:color="auto" w:fill="F4F6FA"/>
            <w:tcMar>
              <w:top w:w="70" w:type="dxa"/>
              <w:left w:w="120" w:type="dxa"/>
              <w:bottom w:w="70" w:type="dxa"/>
              <w:right w:w="120" w:type="dxa"/>
            </w:tcMar>
            <w:vAlign w:val="center"/>
          </w:tcPr>
          <w:p w14:paraId="5CBA11ED" w14:textId="77777777" w:rsidR="00D24757" w:rsidRDefault="00800425">
            <w:r>
              <w:rPr>
                <w:b/>
                <w:bCs/>
                <w:color w:val="2E8B57"/>
                <w:sz w:val="21"/>
                <w:szCs w:val="21"/>
              </w:rPr>
              <w:t>≤ 5%</w:t>
            </w:r>
          </w:p>
        </w:tc>
        <w:tc>
          <w:tcPr>
            <w:tcW w:w="1700" w:type="dxa"/>
            <w:tcBorders>
              <w:top w:val="single" w:sz="1" w:space="0" w:color="C8CDD6"/>
              <w:left w:val="single" w:sz="1" w:space="0" w:color="C8CDD6"/>
              <w:bottom w:val="single" w:sz="1" w:space="0" w:color="C8CDD6"/>
              <w:right w:val="single" w:sz="1" w:space="0" w:color="C8CDD6"/>
            </w:tcBorders>
            <w:shd w:val="clear" w:color="auto" w:fill="F4F6FA"/>
            <w:tcMar>
              <w:top w:w="70" w:type="dxa"/>
              <w:left w:w="120" w:type="dxa"/>
              <w:bottom w:w="70" w:type="dxa"/>
              <w:right w:w="120" w:type="dxa"/>
            </w:tcMar>
            <w:vAlign w:val="center"/>
          </w:tcPr>
          <w:p w14:paraId="694E8624" w14:textId="77777777" w:rsidR="00D24757" w:rsidRDefault="00800425">
            <w:r>
              <w:rPr>
                <w:color w:val="C9870B"/>
                <w:sz w:val="21"/>
                <w:szCs w:val="21"/>
              </w:rPr>
              <w:t>5 to 10%</w:t>
            </w:r>
          </w:p>
        </w:tc>
        <w:tc>
          <w:tcPr>
            <w:tcW w:w="1700" w:type="dxa"/>
            <w:tcBorders>
              <w:top w:val="single" w:sz="1" w:space="0" w:color="C8CDD6"/>
              <w:left w:val="single" w:sz="1" w:space="0" w:color="C8CDD6"/>
              <w:bottom w:val="single" w:sz="1" w:space="0" w:color="C8CDD6"/>
              <w:right w:val="single" w:sz="1" w:space="0" w:color="C8CDD6"/>
            </w:tcBorders>
            <w:shd w:val="clear" w:color="auto" w:fill="F4F6FA"/>
            <w:tcMar>
              <w:top w:w="70" w:type="dxa"/>
              <w:left w:w="120" w:type="dxa"/>
              <w:bottom w:w="70" w:type="dxa"/>
              <w:right w:w="120" w:type="dxa"/>
            </w:tcMar>
            <w:vAlign w:val="center"/>
          </w:tcPr>
          <w:p w14:paraId="047CF324" w14:textId="77777777" w:rsidR="00D24757" w:rsidRDefault="00800425">
            <w:r>
              <w:rPr>
                <w:b/>
                <w:bCs/>
                <w:color w:val="C0392B"/>
                <w:sz w:val="21"/>
                <w:szCs w:val="21"/>
              </w:rPr>
              <w:t>&gt; 10%</w:t>
            </w:r>
          </w:p>
        </w:tc>
        <w:tc>
          <w:tcPr>
            <w:tcW w:w="1780" w:type="dxa"/>
            <w:tcBorders>
              <w:top w:val="single" w:sz="1" w:space="0" w:color="C8CDD6"/>
              <w:left w:val="single" w:sz="1" w:space="0" w:color="C8CDD6"/>
              <w:bottom w:val="single" w:sz="1" w:space="0" w:color="C8CDD6"/>
              <w:right w:val="single" w:sz="1" w:space="0" w:color="C8CDD6"/>
            </w:tcBorders>
            <w:shd w:val="clear" w:color="auto" w:fill="F4F6FA"/>
            <w:tcMar>
              <w:top w:w="70" w:type="dxa"/>
              <w:left w:w="120" w:type="dxa"/>
              <w:bottom w:w="70" w:type="dxa"/>
              <w:right w:w="120" w:type="dxa"/>
            </w:tcMar>
            <w:vAlign w:val="center"/>
          </w:tcPr>
          <w:p w14:paraId="48885A4F" w14:textId="77777777" w:rsidR="00D24757" w:rsidRDefault="00800425">
            <w:r>
              <w:rPr>
                <w:sz w:val="21"/>
                <w:szCs w:val="21"/>
              </w:rPr>
              <w:t>Freeze non urgent changes</w:t>
            </w:r>
          </w:p>
        </w:tc>
      </w:tr>
      <w:tr w:rsidR="00D24757" w14:paraId="61538D6F" w14:textId="77777777">
        <w:tc>
          <w:tcPr>
            <w:tcW w:w="2480" w:type="dxa"/>
            <w:tcBorders>
              <w:top w:val="single" w:sz="1" w:space="0" w:color="C8CDD6"/>
              <w:left w:val="single" w:sz="1" w:space="0" w:color="C8CDD6"/>
              <w:bottom w:val="single" w:sz="1" w:space="0" w:color="C8CDD6"/>
              <w:right w:val="single" w:sz="1" w:space="0" w:color="C8CDD6"/>
            </w:tcBorders>
            <w:tcMar>
              <w:top w:w="70" w:type="dxa"/>
              <w:left w:w="120" w:type="dxa"/>
              <w:bottom w:w="70" w:type="dxa"/>
              <w:right w:w="120" w:type="dxa"/>
            </w:tcMar>
            <w:vAlign w:val="center"/>
          </w:tcPr>
          <w:p w14:paraId="61247505" w14:textId="77777777" w:rsidR="00D24757" w:rsidRDefault="00800425">
            <w:r>
              <w:rPr>
                <w:b/>
                <w:bCs/>
                <w:sz w:val="21"/>
                <w:szCs w:val="21"/>
              </w:rPr>
              <w:t>Capacity utilisation</w:t>
            </w:r>
          </w:p>
        </w:tc>
        <w:tc>
          <w:tcPr>
            <w:tcW w:w="1700" w:type="dxa"/>
            <w:tcBorders>
              <w:top w:val="single" w:sz="1" w:space="0" w:color="C8CDD6"/>
              <w:left w:val="single" w:sz="1" w:space="0" w:color="C8CDD6"/>
              <w:bottom w:val="single" w:sz="1" w:space="0" w:color="C8CDD6"/>
              <w:right w:val="single" w:sz="1" w:space="0" w:color="C8CDD6"/>
            </w:tcBorders>
            <w:tcMar>
              <w:top w:w="70" w:type="dxa"/>
              <w:left w:w="120" w:type="dxa"/>
              <w:bottom w:w="70" w:type="dxa"/>
              <w:right w:w="120" w:type="dxa"/>
            </w:tcMar>
            <w:vAlign w:val="center"/>
          </w:tcPr>
          <w:p w14:paraId="4EAA1B2E" w14:textId="77777777" w:rsidR="00D24757" w:rsidRDefault="00800425">
            <w:r>
              <w:rPr>
                <w:b/>
                <w:bCs/>
                <w:color w:val="2E8B57"/>
                <w:sz w:val="21"/>
                <w:szCs w:val="21"/>
              </w:rPr>
              <w:t>≤ 70%</w:t>
            </w:r>
          </w:p>
        </w:tc>
        <w:tc>
          <w:tcPr>
            <w:tcW w:w="1700" w:type="dxa"/>
            <w:tcBorders>
              <w:top w:val="single" w:sz="1" w:space="0" w:color="C8CDD6"/>
              <w:left w:val="single" w:sz="1" w:space="0" w:color="C8CDD6"/>
              <w:bottom w:val="single" w:sz="1" w:space="0" w:color="C8CDD6"/>
              <w:right w:val="single" w:sz="1" w:space="0" w:color="C8CDD6"/>
            </w:tcBorders>
            <w:tcMar>
              <w:top w:w="70" w:type="dxa"/>
              <w:left w:w="120" w:type="dxa"/>
              <w:bottom w:w="70" w:type="dxa"/>
              <w:right w:w="120" w:type="dxa"/>
            </w:tcMar>
            <w:vAlign w:val="center"/>
          </w:tcPr>
          <w:p w14:paraId="6EE18FCC" w14:textId="77777777" w:rsidR="00D24757" w:rsidRDefault="00800425">
            <w:r>
              <w:rPr>
                <w:color w:val="C9870B"/>
                <w:sz w:val="21"/>
                <w:szCs w:val="21"/>
              </w:rPr>
              <w:t>70 to 85%</w:t>
            </w:r>
          </w:p>
        </w:tc>
        <w:tc>
          <w:tcPr>
            <w:tcW w:w="1700" w:type="dxa"/>
            <w:tcBorders>
              <w:top w:val="single" w:sz="1" w:space="0" w:color="C8CDD6"/>
              <w:left w:val="single" w:sz="1" w:space="0" w:color="C8CDD6"/>
              <w:bottom w:val="single" w:sz="1" w:space="0" w:color="C8CDD6"/>
              <w:right w:val="single" w:sz="1" w:space="0" w:color="C8CDD6"/>
            </w:tcBorders>
            <w:tcMar>
              <w:top w:w="70" w:type="dxa"/>
              <w:left w:w="120" w:type="dxa"/>
              <w:bottom w:w="70" w:type="dxa"/>
              <w:right w:w="120" w:type="dxa"/>
            </w:tcMar>
            <w:vAlign w:val="center"/>
          </w:tcPr>
          <w:p w14:paraId="5E566803" w14:textId="77777777" w:rsidR="00D24757" w:rsidRDefault="00800425">
            <w:r>
              <w:rPr>
                <w:b/>
                <w:bCs/>
                <w:color w:val="C0392B"/>
                <w:sz w:val="21"/>
                <w:szCs w:val="21"/>
              </w:rPr>
              <w:t>&gt; 85%</w:t>
            </w:r>
          </w:p>
        </w:tc>
        <w:tc>
          <w:tcPr>
            <w:tcW w:w="1780" w:type="dxa"/>
            <w:tcBorders>
              <w:top w:val="single" w:sz="1" w:space="0" w:color="C8CDD6"/>
              <w:left w:val="single" w:sz="1" w:space="0" w:color="C8CDD6"/>
              <w:bottom w:val="single" w:sz="1" w:space="0" w:color="C8CDD6"/>
              <w:right w:val="single" w:sz="1" w:space="0" w:color="C8CDD6"/>
            </w:tcBorders>
            <w:tcMar>
              <w:top w:w="70" w:type="dxa"/>
              <w:left w:w="120" w:type="dxa"/>
              <w:bottom w:w="70" w:type="dxa"/>
              <w:right w:w="120" w:type="dxa"/>
            </w:tcMar>
            <w:vAlign w:val="center"/>
          </w:tcPr>
          <w:p w14:paraId="33E1324D" w14:textId="77777777" w:rsidR="00D24757" w:rsidRDefault="00800425">
            <w:r>
              <w:rPr>
                <w:sz w:val="21"/>
                <w:szCs w:val="21"/>
              </w:rPr>
              <w:t>Approve capacity uplift</w:t>
            </w:r>
          </w:p>
        </w:tc>
      </w:tr>
      <w:tr w:rsidR="00D24757" w14:paraId="15DD20CA" w14:textId="77777777">
        <w:tc>
          <w:tcPr>
            <w:tcW w:w="2480" w:type="dxa"/>
            <w:tcBorders>
              <w:top w:val="single" w:sz="1" w:space="0" w:color="C8CDD6"/>
              <w:left w:val="single" w:sz="1" w:space="0" w:color="C8CDD6"/>
              <w:bottom w:val="single" w:sz="1" w:space="0" w:color="C8CDD6"/>
              <w:right w:val="single" w:sz="1" w:space="0" w:color="C8CDD6"/>
            </w:tcBorders>
            <w:shd w:val="clear" w:color="auto" w:fill="F4F6FA"/>
            <w:tcMar>
              <w:top w:w="70" w:type="dxa"/>
              <w:left w:w="120" w:type="dxa"/>
              <w:bottom w:w="70" w:type="dxa"/>
              <w:right w:w="120" w:type="dxa"/>
            </w:tcMar>
            <w:vAlign w:val="center"/>
          </w:tcPr>
          <w:p w14:paraId="5D65D6E1" w14:textId="77777777" w:rsidR="00D24757" w:rsidRDefault="00800425">
            <w:r>
              <w:rPr>
                <w:b/>
                <w:bCs/>
                <w:sz w:val="21"/>
                <w:szCs w:val="21"/>
              </w:rPr>
              <w:t>Backup success rate</w:t>
            </w:r>
          </w:p>
        </w:tc>
        <w:tc>
          <w:tcPr>
            <w:tcW w:w="1700" w:type="dxa"/>
            <w:tcBorders>
              <w:top w:val="single" w:sz="1" w:space="0" w:color="C8CDD6"/>
              <w:left w:val="single" w:sz="1" w:space="0" w:color="C8CDD6"/>
              <w:bottom w:val="single" w:sz="1" w:space="0" w:color="C8CDD6"/>
              <w:right w:val="single" w:sz="1" w:space="0" w:color="C8CDD6"/>
            </w:tcBorders>
            <w:shd w:val="clear" w:color="auto" w:fill="F4F6FA"/>
            <w:tcMar>
              <w:top w:w="70" w:type="dxa"/>
              <w:left w:w="120" w:type="dxa"/>
              <w:bottom w:w="70" w:type="dxa"/>
              <w:right w:w="120" w:type="dxa"/>
            </w:tcMar>
            <w:vAlign w:val="center"/>
          </w:tcPr>
          <w:p w14:paraId="26F163BC" w14:textId="77777777" w:rsidR="00D24757" w:rsidRDefault="00800425">
            <w:r>
              <w:rPr>
                <w:b/>
                <w:bCs/>
                <w:color w:val="2E8B57"/>
                <w:sz w:val="21"/>
                <w:szCs w:val="21"/>
              </w:rPr>
              <w:t>≥ 99%</w:t>
            </w:r>
          </w:p>
        </w:tc>
        <w:tc>
          <w:tcPr>
            <w:tcW w:w="1700" w:type="dxa"/>
            <w:tcBorders>
              <w:top w:val="single" w:sz="1" w:space="0" w:color="C8CDD6"/>
              <w:left w:val="single" w:sz="1" w:space="0" w:color="C8CDD6"/>
              <w:bottom w:val="single" w:sz="1" w:space="0" w:color="C8CDD6"/>
              <w:right w:val="single" w:sz="1" w:space="0" w:color="C8CDD6"/>
            </w:tcBorders>
            <w:shd w:val="clear" w:color="auto" w:fill="F4F6FA"/>
            <w:tcMar>
              <w:top w:w="70" w:type="dxa"/>
              <w:left w:w="120" w:type="dxa"/>
              <w:bottom w:w="70" w:type="dxa"/>
              <w:right w:w="120" w:type="dxa"/>
            </w:tcMar>
            <w:vAlign w:val="center"/>
          </w:tcPr>
          <w:p w14:paraId="158BEFA7" w14:textId="77777777" w:rsidR="00D24757" w:rsidRDefault="00800425">
            <w:r>
              <w:rPr>
                <w:color w:val="C9870B"/>
                <w:sz w:val="21"/>
                <w:szCs w:val="21"/>
              </w:rPr>
              <w:t>95 to 99%</w:t>
            </w:r>
          </w:p>
        </w:tc>
        <w:tc>
          <w:tcPr>
            <w:tcW w:w="1700" w:type="dxa"/>
            <w:tcBorders>
              <w:top w:val="single" w:sz="1" w:space="0" w:color="C8CDD6"/>
              <w:left w:val="single" w:sz="1" w:space="0" w:color="C8CDD6"/>
              <w:bottom w:val="single" w:sz="1" w:space="0" w:color="C8CDD6"/>
              <w:right w:val="single" w:sz="1" w:space="0" w:color="C8CDD6"/>
            </w:tcBorders>
            <w:shd w:val="clear" w:color="auto" w:fill="F4F6FA"/>
            <w:tcMar>
              <w:top w:w="70" w:type="dxa"/>
              <w:left w:w="120" w:type="dxa"/>
              <w:bottom w:w="70" w:type="dxa"/>
              <w:right w:w="120" w:type="dxa"/>
            </w:tcMar>
            <w:vAlign w:val="center"/>
          </w:tcPr>
          <w:p w14:paraId="347590AB" w14:textId="77777777" w:rsidR="00D24757" w:rsidRDefault="00800425">
            <w:r>
              <w:rPr>
                <w:b/>
                <w:bCs/>
                <w:color w:val="C0392B"/>
                <w:sz w:val="21"/>
                <w:szCs w:val="21"/>
              </w:rPr>
              <w:t>&lt; 95%</w:t>
            </w:r>
          </w:p>
        </w:tc>
        <w:tc>
          <w:tcPr>
            <w:tcW w:w="1780" w:type="dxa"/>
            <w:tcBorders>
              <w:top w:val="single" w:sz="1" w:space="0" w:color="C8CDD6"/>
              <w:left w:val="single" w:sz="1" w:space="0" w:color="C8CDD6"/>
              <w:bottom w:val="single" w:sz="1" w:space="0" w:color="C8CDD6"/>
              <w:right w:val="single" w:sz="1" w:space="0" w:color="C8CDD6"/>
            </w:tcBorders>
            <w:shd w:val="clear" w:color="auto" w:fill="F4F6FA"/>
            <w:tcMar>
              <w:top w:w="70" w:type="dxa"/>
              <w:left w:w="120" w:type="dxa"/>
              <w:bottom w:w="70" w:type="dxa"/>
              <w:right w:w="120" w:type="dxa"/>
            </w:tcMar>
            <w:vAlign w:val="center"/>
          </w:tcPr>
          <w:p w14:paraId="1D3BB00A" w14:textId="77777777" w:rsidR="00D24757" w:rsidRDefault="00800425">
            <w:r>
              <w:rPr>
                <w:sz w:val="21"/>
                <w:szCs w:val="21"/>
              </w:rPr>
              <w:t>Remediate backup failures</w:t>
            </w:r>
          </w:p>
        </w:tc>
      </w:tr>
    </w:tbl>
    <w:p w14:paraId="5F3F9EDA" w14:textId="77777777" w:rsidR="00D24757" w:rsidRDefault="00D24757">
      <w:pPr>
        <w:spacing w:after="140" w:line="276" w:lineRule="auto"/>
      </w:pPr>
    </w:p>
    <w:p w14:paraId="26BDF740" w14:textId="77777777" w:rsidR="00D24757" w:rsidRDefault="00800425">
      <w:pPr>
        <w:spacing w:before="100" w:after="60"/>
        <w:jc w:val="center"/>
      </w:pPr>
      <w:r>
        <w:rPr>
          <w:noProof/>
        </w:rPr>
        <w:drawing>
          <wp:inline distT="0" distB="0" distL="0" distR="0" wp14:anchorId="17C98C68" wp14:editId="2A1C30A6">
            <wp:extent cx="5715000" cy="3048000"/>
            <wp:effectExtent l="0" t="0" r="0" b="0"/>
            <wp:docPr id="613490632" name="System availability against thresholds" descr="System availability against thresholds" title="System availability against thresho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048000"/>
                    </a:xfrm>
                    <a:prstGeom prst="rect">
                      <a:avLst/>
                    </a:prstGeom>
                  </pic:spPr>
                </pic:pic>
              </a:graphicData>
            </a:graphic>
          </wp:inline>
        </w:drawing>
      </w:r>
    </w:p>
    <w:p w14:paraId="60C314DC" w14:textId="77777777" w:rsidR="00D24757" w:rsidRDefault="00800425" w:rsidP="000179FF">
      <w:pPr>
        <w:spacing w:after="200"/>
        <w:jc w:val="both"/>
      </w:pPr>
      <w:r>
        <w:rPr>
          <w:i/>
          <w:iCs/>
          <w:color w:val="5A5A5A"/>
          <w:sz w:val="18"/>
          <w:szCs w:val="18"/>
        </w:rPr>
        <w:t>Figure 3. Twelve month availability trend with green, amber and red threshold bands.</w:t>
      </w:r>
    </w:p>
    <w:p w14:paraId="3704281F" w14:textId="77777777" w:rsidR="00D24757" w:rsidRDefault="00800425" w:rsidP="000179FF">
      <w:pPr>
        <w:spacing w:after="140" w:line="276" w:lineRule="auto"/>
        <w:jc w:val="both"/>
      </w:pPr>
      <w:r>
        <w:t>The trend shows availability breaching the red threshold twice during the year, in both cases linked to outages on parts of the legacy estate. These breaches drive the elevated residual rating and reinforce the case for the remediation set out below.</w:t>
      </w:r>
    </w:p>
    <w:p w14:paraId="3583EBD4" w14:textId="77777777" w:rsidR="00D24757" w:rsidRDefault="00800425">
      <w:pPr>
        <w:pStyle w:val="Heading1"/>
      </w:pPr>
      <w:bookmarkStart w:id="9" w:name="_Toc231294580"/>
      <w:r>
        <w:t>8. Controls</w:t>
      </w:r>
      <w:bookmarkEnd w:id="9"/>
    </w:p>
    <w:p w14:paraId="20FAF132" w14:textId="77777777" w:rsidR="00D24757" w:rsidRDefault="00800425" w:rsidP="000179FF">
      <w:pPr>
        <w:spacing w:after="140" w:line="276" w:lineRule="auto"/>
        <w:jc w:val="both"/>
      </w:pPr>
      <w:r>
        <w:t>Controls are grouped as preventive, detective and corrective. Preventive controls reduce the likelihood of failure, detective controls identify problems early, and corrective controls limit the impact and restore service quickly.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030"/>
        <w:gridCol w:w="3630"/>
      </w:tblGrid>
      <w:tr w:rsidR="00D24757" w14:paraId="5A127E21" w14:textId="77777777">
        <w:trPr>
          <w:tblHeader/>
        </w:trPr>
        <w:tc>
          <w:tcPr>
            <w:tcW w:w="1700" w:type="dxa"/>
            <w:tcBorders>
              <w:top w:val="single" w:sz="1" w:space="0" w:color="C8CDD6"/>
              <w:left w:val="single" w:sz="1" w:space="0" w:color="C8CDD6"/>
              <w:bottom w:val="single" w:sz="1" w:space="0" w:color="C8CDD6"/>
              <w:right w:val="single" w:sz="1" w:space="0" w:color="C8CDD6"/>
            </w:tcBorders>
            <w:shd w:val="clear" w:color="auto" w:fill="1F3864"/>
            <w:tcMar>
              <w:top w:w="70" w:type="dxa"/>
              <w:left w:w="120" w:type="dxa"/>
              <w:bottom w:w="70" w:type="dxa"/>
              <w:right w:w="120" w:type="dxa"/>
            </w:tcMar>
            <w:vAlign w:val="center"/>
          </w:tcPr>
          <w:p w14:paraId="5603C216" w14:textId="77777777" w:rsidR="00D24757" w:rsidRDefault="00800425">
            <w:r>
              <w:rPr>
                <w:b/>
                <w:bCs/>
                <w:color w:val="FFFFFF"/>
                <w:sz w:val="21"/>
                <w:szCs w:val="21"/>
              </w:rPr>
              <w:t>Type</w:t>
            </w:r>
          </w:p>
        </w:tc>
        <w:tc>
          <w:tcPr>
            <w:tcW w:w="4030" w:type="dxa"/>
            <w:tcBorders>
              <w:top w:val="single" w:sz="1" w:space="0" w:color="C8CDD6"/>
              <w:left w:val="single" w:sz="1" w:space="0" w:color="C8CDD6"/>
              <w:bottom w:val="single" w:sz="1" w:space="0" w:color="C8CDD6"/>
              <w:right w:val="single" w:sz="1" w:space="0" w:color="C8CDD6"/>
            </w:tcBorders>
            <w:shd w:val="clear" w:color="auto" w:fill="1F3864"/>
            <w:tcMar>
              <w:top w:w="70" w:type="dxa"/>
              <w:left w:w="120" w:type="dxa"/>
              <w:bottom w:w="70" w:type="dxa"/>
              <w:right w:w="120" w:type="dxa"/>
            </w:tcMar>
            <w:vAlign w:val="center"/>
          </w:tcPr>
          <w:p w14:paraId="6939A54C" w14:textId="77777777" w:rsidR="00D24757" w:rsidRDefault="00800425">
            <w:r>
              <w:rPr>
                <w:b/>
                <w:bCs/>
                <w:color w:val="FFFFFF"/>
                <w:sz w:val="21"/>
                <w:szCs w:val="21"/>
              </w:rPr>
              <w:t>Control</w:t>
            </w:r>
          </w:p>
        </w:tc>
        <w:tc>
          <w:tcPr>
            <w:tcW w:w="3630" w:type="dxa"/>
            <w:tcBorders>
              <w:top w:val="single" w:sz="1" w:space="0" w:color="C8CDD6"/>
              <w:left w:val="single" w:sz="1" w:space="0" w:color="C8CDD6"/>
              <w:bottom w:val="single" w:sz="1" w:space="0" w:color="C8CDD6"/>
              <w:right w:val="single" w:sz="1" w:space="0" w:color="C8CDD6"/>
            </w:tcBorders>
            <w:shd w:val="clear" w:color="auto" w:fill="1F3864"/>
            <w:tcMar>
              <w:top w:w="70" w:type="dxa"/>
              <w:left w:w="120" w:type="dxa"/>
              <w:bottom w:w="70" w:type="dxa"/>
              <w:right w:w="120" w:type="dxa"/>
            </w:tcMar>
            <w:vAlign w:val="center"/>
          </w:tcPr>
          <w:p w14:paraId="6387569C" w14:textId="77777777" w:rsidR="00D24757" w:rsidRDefault="00800425">
            <w:r>
              <w:rPr>
                <w:b/>
                <w:bCs/>
                <w:color w:val="FFFFFF"/>
                <w:sz w:val="21"/>
                <w:szCs w:val="21"/>
              </w:rPr>
              <w:t>Risk addressed</w:t>
            </w:r>
          </w:p>
        </w:tc>
      </w:tr>
      <w:tr w:rsidR="00D24757" w14:paraId="22E47F66" w14:textId="77777777">
        <w:tc>
          <w:tcPr>
            <w:tcW w:w="1700" w:type="dxa"/>
            <w:tcBorders>
              <w:top w:val="single" w:sz="1" w:space="0" w:color="C8CDD6"/>
              <w:left w:val="single" w:sz="1" w:space="0" w:color="C8CDD6"/>
              <w:bottom w:val="single" w:sz="1" w:space="0" w:color="C8CDD6"/>
              <w:right w:val="single" w:sz="1" w:space="0" w:color="C8CDD6"/>
            </w:tcBorders>
            <w:tcMar>
              <w:top w:w="70" w:type="dxa"/>
              <w:left w:w="120" w:type="dxa"/>
              <w:bottom w:w="70" w:type="dxa"/>
              <w:right w:w="120" w:type="dxa"/>
            </w:tcMar>
            <w:vAlign w:val="center"/>
          </w:tcPr>
          <w:p w14:paraId="127DA191" w14:textId="77777777" w:rsidR="00D24757" w:rsidRDefault="00800425">
            <w:r>
              <w:rPr>
                <w:b/>
                <w:bCs/>
                <w:color w:val="2E8B57"/>
                <w:sz w:val="21"/>
                <w:szCs w:val="21"/>
              </w:rPr>
              <w:t>Preventive</w:t>
            </w:r>
          </w:p>
        </w:tc>
        <w:tc>
          <w:tcPr>
            <w:tcW w:w="4030" w:type="dxa"/>
            <w:tcBorders>
              <w:top w:val="single" w:sz="1" w:space="0" w:color="C8CDD6"/>
              <w:left w:val="single" w:sz="1" w:space="0" w:color="C8CDD6"/>
              <w:bottom w:val="single" w:sz="1" w:space="0" w:color="C8CDD6"/>
              <w:right w:val="single" w:sz="1" w:space="0" w:color="C8CDD6"/>
            </w:tcBorders>
            <w:tcMar>
              <w:top w:w="70" w:type="dxa"/>
              <w:left w:w="120" w:type="dxa"/>
              <w:bottom w:w="70" w:type="dxa"/>
              <w:right w:w="120" w:type="dxa"/>
            </w:tcMar>
            <w:vAlign w:val="center"/>
          </w:tcPr>
          <w:p w14:paraId="78ABE887" w14:textId="77777777" w:rsidR="00D24757" w:rsidRDefault="00800425">
            <w:r>
              <w:rPr>
                <w:sz w:val="21"/>
                <w:szCs w:val="21"/>
              </w:rPr>
              <w:t>Resilient architecture with redundancy and high availability across critical services</w:t>
            </w:r>
          </w:p>
        </w:tc>
        <w:tc>
          <w:tcPr>
            <w:tcW w:w="3630" w:type="dxa"/>
            <w:tcBorders>
              <w:top w:val="single" w:sz="1" w:space="0" w:color="C8CDD6"/>
              <w:left w:val="single" w:sz="1" w:space="0" w:color="C8CDD6"/>
              <w:bottom w:val="single" w:sz="1" w:space="0" w:color="C8CDD6"/>
              <w:right w:val="single" w:sz="1" w:space="0" w:color="C8CDD6"/>
            </w:tcBorders>
            <w:tcMar>
              <w:top w:w="70" w:type="dxa"/>
              <w:left w:w="120" w:type="dxa"/>
              <w:bottom w:w="70" w:type="dxa"/>
              <w:right w:w="120" w:type="dxa"/>
            </w:tcMar>
            <w:vAlign w:val="center"/>
          </w:tcPr>
          <w:p w14:paraId="76046D5D" w14:textId="77777777" w:rsidR="00D24757" w:rsidRDefault="00800425">
            <w:r>
              <w:rPr>
                <w:sz w:val="21"/>
                <w:szCs w:val="21"/>
              </w:rPr>
              <w:t>Single points of failure and outages</w:t>
            </w:r>
          </w:p>
        </w:tc>
      </w:tr>
      <w:tr w:rsidR="00D24757" w14:paraId="1906914C" w14:textId="77777777">
        <w:tc>
          <w:tcPr>
            <w:tcW w:w="1700" w:type="dxa"/>
            <w:tcBorders>
              <w:top w:val="single" w:sz="1" w:space="0" w:color="C8CDD6"/>
              <w:left w:val="single" w:sz="1" w:space="0" w:color="C8CDD6"/>
              <w:bottom w:val="single" w:sz="1" w:space="0" w:color="C8CDD6"/>
              <w:right w:val="single" w:sz="1" w:space="0" w:color="C8CDD6"/>
            </w:tcBorders>
            <w:shd w:val="clear" w:color="auto" w:fill="F4F6FA"/>
            <w:tcMar>
              <w:top w:w="70" w:type="dxa"/>
              <w:left w:w="120" w:type="dxa"/>
              <w:bottom w:w="70" w:type="dxa"/>
              <w:right w:w="120" w:type="dxa"/>
            </w:tcMar>
            <w:vAlign w:val="center"/>
          </w:tcPr>
          <w:p w14:paraId="32F83436" w14:textId="77777777" w:rsidR="00D24757" w:rsidRDefault="00800425">
            <w:r>
              <w:rPr>
                <w:b/>
                <w:bCs/>
                <w:color w:val="2E8B57"/>
                <w:sz w:val="21"/>
                <w:szCs w:val="21"/>
              </w:rPr>
              <w:t>Preventive</w:t>
            </w:r>
          </w:p>
        </w:tc>
        <w:tc>
          <w:tcPr>
            <w:tcW w:w="4030" w:type="dxa"/>
            <w:tcBorders>
              <w:top w:val="single" w:sz="1" w:space="0" w:color="C8CDD6"/>
              <w:left w:val="single" w:sz="1" w:space="0" w:color="C8CDD6"/>
              <w:bottom w:val="single" w:sz="1" w:space="0" w:color="C8CDD6"/>
              <w:right w:val="single" w:sz="1" w:space="0" w:color="C8CDD6"/>
            </w:tcBorders>
            <w:shd w:val="clear" w:color="auto" w:fill="F4F6FA"/>
            <w:tcMar>
              <w:top w:w="70" w:type="dxa"/>
              <w:left w:w="120" w:type="dxa"/>
              <w:bottom w:w="70" w:type="dxa"/>
              <w:right w:w="120" w:type="dxa"/>
            </w:tcMar>
            <w:vAlign w:val="center"/>
          </w:tcPr>
          <w:p w14:paraId="76F7D262" w14:textId="77777777" w:rsidR="00D24757" w:rsidRDefault="00800425">
            <w:r>
              <w:rPr>
                <w:sz w:val="21"/>
                <w:szCs w:val="21"/>
              </w:rPr>
              <w:t>Capacity and demand management with forward looking forecasting</w:t>
            </w:r>
          </w:p>
        </w:tc>
        <w:tc>
          <w:tcPr>
            <w:tcW w:w="3630" w:type="dxa"/>
            <w:tcBorders>
              <w:top w:val="single" w:sz="1" w:space="0" w:color="C8CDD6"/>
              <w:left w:val="single" w:sz="1" w:space="0" w:color="C8CDD6"/>
              <w:bottom w:val="single" w:sz="1" w:space="0" w:color="C8CDD6"/>
              <w:right w:val="single" w:sz="1" w:space="0" w:color="C8CDD6"/>
            </w:tcBorders>
            <w:shd w:val="clear" w:color="auto" w:fill="F4F6FA"/>
            <w:tcMar>
              <w:top w:w="70" w:type="dxa"/>
              <w:left w:w="120" w:type="dxa"/>
              <w:bottom w:w="70" w:type="dxa"/>
              <w:right w:w="120" w:type="dxa"/>
            </w:tcMar>
            <w:vAlign w:val="center"/>
          </w:tcPr>
          <w:p w14:paraId="1C4EE07B" w14:textId="77777777" w:rsidR="00D24757" w:rsidRDefault="00800425">
            <w:r>
              <w:rPr>
                <w:sz w:val="21"/>
                <w:szCs w:val="21"/>
              </w:rPr>
              <w:t>Failures driven by demand exceeding capacity</w:t>
            </w:r>
          </w:p>
        </w:tc>
      </w:tr>
      <w:tr w:rsidR="00D24757" w14:paraId="198D01B6" w14:textId="77777777">
        <w:tc>
          <w:tcPr>
            <w:tcW w:w="1700" w:type="dxa"/>
            <w:tcBorders>
              <w:top w:val="single" w:sz="1" w:space="0" w:color="C8CDD6"/>
              <w:left w:val="single" w:sz="1" w:space="0" w:color="C8CDD6"/>
              <w:bottom w:val="single" w:sz="1" w:space="0" w:color="C8CDD6"/>
              <w:right w:val="single" w:sz="1" w:space="0" w:color="C8CDD6"/>
            </w:tcBorders>
            <w:tcMar>
              <w:top w:w="70" w:type="dxa"/>
              <w:left w:w="120" w:type="dxa"/>
              <w:bottom w:w="70" w:type="dxa"/>
              <w:right w:w="120" w:type="dxa"/>
            </w:tcMar>
            <w:vAlign w:val="center"/>
          </w:tcPr>
          <w:p w14:paraId="2C00D672" w14:textId="77777777" w:rsidR="00D24757" w:rsidRDefault="00800425">
            <w:r>
              <w:rPr>
                <w:b/>
                <w:bCs/>
                <w:color w:val="2E8B57"/>
                <w:sz w:val="21"/>
                <w:szCs w:val="21"/>
              </w:rPr>
              <w:t>Preventive</w:t>
            </w:r>
          </w:p>
        </w:tc>
        <w:tc>
          <w:tcPr>
            <w:tcW w:w="4030" w:type="dxa"/>
            <w:tcBorders>
              <w:top w:val="single" w:sz="1" w:space="0" w:color="C8CDD6"/>
              <w:left w:val="single" w:sz="1" w:space="0" w:color="C8CDD6"/>
              <w:bottom w:val="single" w:sz="1" w:space="0" w:color="C8CDD6"/>
              <w:right w:val="single" w:sz="1" w:space="0" w:color="C8CDD6"/>
            </w:tcBorders>
            <w:tcMar>
              <w:top w:w="70" w:type="dxa"/>
              <w:left w:w="120" w:type="dxa"/>
              <w:bottom w:w="70" w:type="dxa"/>
              <w:right w:w="120" w:type="dxa"/>
            </w:tcMar>
            <w:vAlign w:val="center"/>
          </w:tcPr>
          <w:p w14:paraId="372F91FB" w14:textId="77777777" w:rsidR="00D24757" w:rsidRDefault="00800425">
            <w:r>
              <w:rPr>
                <w:sz w:val="21"/>
                <w:szCs w:val="21"/>
              </w:rPr>
              <w:t>Disciplined change management with testing, approval and release control</w:t>
            </w:r>
          </w:p>
        </w:tc>
        <w:tc>
          <w:tcPr>
            <w:tcW w:w="3630" w:type="dxa"/>
            <w:tcBorders>
              <w:top w:val="single" w:sz="1" w:space="0" w:color="C8CDD6"/>
              <w:left w:val="single" w:sz="1" w:space="0" w:color="C8CDD6"/>
              <w:bottom w:val="single" w:sz="1" w:space="0" w:color="C8CDD6"/>
              <w:right w:val="single" w:sz="1" w:space="0" w:color="C8CDD6"/>
            </w:tcBorders>
            <w:tcMar>
              <w:top w:w="70" w:type="dxa"/>
              <w:left w:w="120" w:type="dxa"/>
              <w:bottom w:w="70" w:type="dxa"/>
              <w:right w:w="120" w:type="dxa"/>
            </w:tcMar>
            <w:vAlign w:val="center"/>
          </w:tcPr>
          <w:p w14:paraId="3700175C" w14:textId="77777777" w:rsidR="00D24757" w:rsidRDefault="00800425">
            <w:r>
              <w:rPr>
                <w:sz w:val="21"/>
                <w:szCs w:val="21"/>
              </w:rPr>
              <w:t>Change related instability</w:t>
            </w:r>
          </w:p>
        </w:tc>
      </w:tr>
      <w:tr w:rsidR="00D24757" w14:paraId="19838B60" w14:textId="77777777">
        <w:tc>
          <w:tcPr>
            <w:tcW w:w="1700" w:type="dxa"/>
            <w:tcBorders>
              <w:top w:val="single" w:sz="1" w:space="0" w:color="C8CDD6"/>
              <w:left w:val="single" w:sz="1" w:space="0" w:color="C8CDD6"/>
              <w:bottom w:val="single" w:sz="1" w:space="0" w:color="C8CDD6"/>
              <w:right w:val="single" w:sz="1" w:space="0" w:color="C8CDD6"/>
            </w:tcBorders>
            <w:shd w:val="clear" w:color="auto" w:fill="F4F6FA"/>
            <w:tcMar>
              <w:top w:w="70" w:type="dxa"/>
              <w:left w:w="120" w:type="dxa"/>
              <w:bottom w:w="70" w:type="dxa"/>
              <w:right w:w="120" w:type="dxa"/>
            </w:tcMar>
            <w:vAlign w:val="center"/>
          </w:tcPr>
          <w:p w14:paraId="51875C10" w14:textId="77777777" w:rsidR="00D24757" w:rsidRDefault="00800425">
            <w:r>
              <w:rPr>
                <w:b/>
                <w:bCs/>
                <w:color w:val="2E8B57"/>
                <w:sz w:val="21"/>
                <w:szCs w:val="21"/>
              </w:rPr>
              <w:t>Preventive</w:t>
            </w:r>
          </w:p>
        </w:tc>
        <w:tc>
          <w:tcPr>
            <w:tcW w:w="4030" w:type="dxa"/>
            <w:tcBorders>
              <w:top w:val="single" w:sz="1" w:space="0" w:color="C8CDD6"/>
              <w:left w:val="single" w:sz="1" w:space="0" w:color="C8CDD6"/>
              <w:bottom w:val="single" w:sz="1" w:space="0" w:color="C8CDD6"/>
              <w:right w:val="single" w:sz="1" w:space="0" w:color="C8CDD6"/>
            </w:tcBorders>
            <w:shd w:val="clear" w:color="auto" w:fill="F4F6FA"/>
            <w:tcMar>
              <w:top w:w="70" w:type="dxa"/>
              <w:left w:w="120" w:type="dxa"/>
              <w:bottom w:w="70" w:type="dxa"/>
              <w:right w:w="120" w:type="dxa"/>
            </w:tcMar>
            <w:vAlign w:val="center"/>
          </w:tcPr>
          <w:p w14:paraId="50E3AD73" w14:textId="77777777" w:rsidR="00D24757" w:rsidRDefault="00800425">
            <w:r>
              <w:rPr>
                <w:sz w:val="21"/>
                <w:szCs w:val="21"/>
              </w:rPr>
              <w:t>Lifecycle and patch management to retire end of life assets</w:t>
            </w:r>
          </w:p>
        </w:tc>
        <w:tc>
          <w:tcPr>
            <w:tcW w:w="3630" w:type="dxa"/>
            <w:tcBorders>
              <w:top w:val="single" w:sz="1" w:space="0" w:color="C8CDD6"/>
              <w:left w:val="single" w:sz="1" w:space="0" w:color="C8CDD6"/>
              <w:bottom w:val="single" w:sz="1" w:space="0" w:color="C8CDD6"/>
              <w:right w:val="single" w:sz="1" w:space="0" w:color="C8CDD6"/>
            </w:tcBorders>
            <w:shd w:val="clear" w:color="auto" w:fill="F4F6FA"/>
            <w:tcMar>
              <w:top w:w="70" w:type="dxa"/>
              <w:left w:w="120" w:type="dxa"/>
              <w:bottom w:w="70" w:type="dxa"/>
              <w:right w:w="120" w:type="dxa"/>
            </w:tcMar>
            <w:vAlign w:val="center"/>
          </w:tcPr>
          <w:p w14:paraId="4981F43C" w14:textId="77777777" w:rsidR="00D24757" w:rsidRDefault="00800425">
            <w:r>
              <w:rPr>
                <w:sz w:val="21"/>
                <w:szCs w:val="21"/>
              </w:rPr>
              <w:t>Ageing and unsupported infrastructure</w:t>
            </w:r>
          </w:p>
        </w:tc>
      </w:tr>
      <w:tr w:rsidR="00D24757" w14:paraId="593B7F43" w14:textId="77777777">
        <w:tc>
          <w:tcPr>
            <w:tcW w:w="1700" w:type="dxa"/>
            <w:tcBorders>
              <w:top w:val="single" w:sz="1" w:space="0" w:color="C8CDD6"/>
              <w:left w:val="single" w:sz="1" w:space="0" w:color="C8CDD6"/>
              <w:bottom w:val="single" w:sz="1" w:space="0" w:color="C8CDD6"/>
              <w:right w:val="single" w:sz="1" w:space="0" w:color="C8CDD6"/>
            </w:tcBorders>
            <w:tcMar>
              <w:top w:w="70" w:type="dxa"/>
              <w:left w:w="120" w:type="dxa"/>
              <w:bottom w:w="70" w:type="dxa"/>
              <w:right w:w="120" w:type="dxa"/>
            </w:tcMar>
            <w:vAlign w:val="center"/>
          </w:tcPr>
          <w:p w14:paraId="668692BA" w14:textId="77777777" w:rsidR="00D24757" w:rsidRDefault="00800425">
            <w:r>
              <w:rPr>
                <w:b/>
                <w:bCs/>
                <w:color w:val="2E75B6"/>
                <w:sz w:val="21"/>
                <w:szCs w:val="21"/>
              </w:rPr>
              <w:t>Detective</w:t>
            </w:r>
          </w:p>
        </w:tc>
        <w:tc>
          <w:tcPr>
            <w:tcW w:w="4030" w:type="dxa"/>
            <w:tcBorders>
              <w:top w:val="single" w:sz="1" w:space="0" w:color="C8CDD6"/>
              <w:left w:val="single" w:sz="1" w:space="0" w:color="C8CDD6"/>
              <w:bottom w:val="single" w:sz="1" w:space="0" w:color="C8CDD6"/>
              <w:right w:val="single" w:sz="1" w:space="0" w:color="C8CDD6"/>
            </w:tcBorders>
            <w:tcMar>
              <w:top w:w="70" w:type="dxa"/>
              <w:left w:w="120" w:type="dxa"/>
              <w:bottom w:w="70" w:type="dxa"/>
              <w:right w:w="120" w:type="dxa"/>
            </w:tcMar>
            <w:vAlign w:val="center"/>
          </w:tcPr>
          <w:p w14:paraId="53B7D3E5" w14:textId="77777777" w:rsidR="00D24757" w:rsidRDefault="00800425">
            <w:r>
              <w:rPr>
                <w:sz w:val="21"/>
                <w:szCs w:val="21"/>
              </w:rPr>
              <w:t>Real time monitoring, alerting and indicator dashboards</w:t>
            </w:r>
          </w:p>
        </w:tc>
        <w:tc>
          <w:tcPr>
            <w:tcW w:w="3630" w:type="dxa"/>
            <w:tcBorders>
              <w:top w:val="single" w:sz="1" w:space="0" w:color="C8CDD6"/>
              <w:left w:val="single" w:sz="1" w:space="0" w:color="C8CDD6"/>
              <w:bottom w:val="single" w:sz="1" w:space="0" w:color="C8CDD6"/>
              <w:right w:val="single" w:sz="1" w:space="0" w:color="C8CDD6"/>
            </w:tcBorders>
            <w:tcMar>
              <w:top w:w="70" w:type="dxa"/>
              <w:left w:w="120" w:type="dxa"/>
              <w:bottom w:w="70" w:type="dxa"/>
              <w:right w:w="120" w:type="dxa"/>
            </w:tcMar>
            <w:vAlign w:val="center"/>
          </w:tcPr>
          <w:p w14:paraId="4E48C85D" w14:textId="77777777" w:rsidR="00D24757" w:rsidRDefault="00800425">
            <w:r>
              <w:rPr>
                <w:sz w:val="21"/>
                <w:szCs w:val="21"/>
              </w:rPr>
              <w:t>Late detection of degradation and outages</w:t>
            </w:r>
          </w:p>
        </w:tc>
      </w:tr>
      <w:tr w:rsidR="00D24757" w14:paraId="1EEC8F7B" w14:textId="77777777">
        <w:tc>
          <w:tcPr>
            <w:tcW w:w="1700" w:type="dxa"/>
            <w:tcBorders>
              <w:top w:val="single" w:sz="1" w:space="0" w:color="C8CDD6"/>
              <w:left w:val="single" w:sz="1" w:space="0" w:color="C8CDD6"/>
              <w:bottom w:val="single" w:sz="1" w:space="0" w:color="C8CDD6"/>
              <w:right w:val="single" w:sz="1" w:space="0" w:color="C8CDD6"/>
            </w:tcBorders>
            <w:shd w:val="clear" w:color="auto" w:fill="F4F6FA"/>
            <w:tcMar>
              <w:top w:w="70" w:type="dxa"/>
              <w:left w:w="120" w:type="dxa"/>
              <w:bottom w:w="70" w:type="dxa"/>
              <w:right w:w="120" w:type="dxa"/>
            </w:tcMar>
            <w:vAlign w:val="center"/>
          </w:tcPr>
          <w:p w14:paraId="5A8E0142" w14:textId="77777777" w:rsidR="00D24757" w:rsidRDefault="00800425">
            <w:r>
              <w:rPr>
                <w:b/>
                <w:bCs/>
                <w:color w:val="2E75B6"/>
                <w:sz w:val="21"/>
                <w:szCs w:val="21"/>
              </w:rPr>
              <w:t>Detective</w:t>
            </w:r>
          </w:p>
        </w:tc>
        <w:tc>
          <w:tcPr>
            <w:tcW w:w="4030" w:type="dxa"/>
            <w:tcBorders>
              <w:top w:val="single" w:sz="1" w:space="0" w:color="C8CDD6"/>
              <w:left w:val="single" w:sz="1" w:space="0" w:color="C8CDD6"/>
              <w:bottom w:val="single" w:sz="1" w:space="0" w:color="C8CDD6"/>
              <w:right w:val="single" w:sz="1" w:space="0" w:color="C8CDD6"/>
            </w:tcBorders>
            <w:shd w:val="clear" w:color="auto" w:fill="F4F6FA"/>
            <w:tcMar>
              <w:top w:w="70" w:type="dxa"/>
              <w:left w:w="120" w:type="dxa"/>
              <w:bottom w:w="70" w:type="dxa"/>
              <w:right w:w="120" w:type="dxa"/>
            </w:tcMar>
            <w:vAlign w:val="center"/>
          </w:tcPr>
          <w:p w14:paraId="14D32B9A" w14:textId="77777777" w:rsidR="00D24757" w:rsidRDefault="00800425">
            <w:r>
              <w:rPr>
                <w:sz w:val="21"/>
                <w:szCs w:val="21"/>
              </w:rPr>
              <w:t>Synthetic transaction monitoring and periodic recovery testing</w:t>
            </w:r>
          </w:p>
        </w:tc>
        <w:tc>
          <w:tcPr>
            <w:tcW w:w="3630" w:type="dxa"/>
            <w:tcBorders>
              <w:top w:val="single" w:sz="1" w:space="0" w:color="C8CDD6"/>
              <w:left w:val="single" w:sz="1" w:space="0" w:color="C8CDD6"/>
              <w:bottom w:val="single" w:sz="1" w:space="0" w:color="C8CDD6"/>
              <w:right w:val="single" w:sz="1" w:space="0" w:color="C8CDD6"/>
            </w:tcBorders>
            <w:shd w:val="clear" w:color="auto" w:fill="F4F6FA"/>
            <w:tcMar>
              <w:top w:w="70" w:type="dxa"/>
              <w:left w:w="120" w:type="dxa"/>
              <w:bottom w:w="70" w:type="dxa"/>
              <w:right w:w="120" w:type="dxa"/>
            </w:tcMar>
            <w:vAlign w:val="center"/>
          </w:tcPr>
          <w:p w14:paraId="043C78A2" w14:textId="77777777" w:rsidR="00D24757" w:rsidRDefault="00800425">
            <w:r>
              <w:rPr>
                <w:sz w:val="21"/>
                <w:szCs w:val="21"/>
              </w:rPr>
              <w:t>Undetected service and recovery failures</w:t>
            </w:r>
          </w:p>
        </w:tc>
      </w:tr>
      <w:tr w:rsidR="00D24757" w14:paraId="66FA791F" w14:textId="77777777">
        <w:tc>
          <w:tcPr>
            <w:tcW w:w="1700" w:type="dxa"/>
            <w:tcBorders>
              <w:top w:val="single" w:sz="1" w:space="0" w:color="C8CDD6"/>
              <w:left w:val="single" w:sz="1" w:space="0" w:color="C8CDD6"/>
              <w:bottom w:val="single" w:sz="1" w:space="0" w:color="C8CDD6"/>
              <w:right w:val="single" w:sz="1" w:space="0" w:color="C8CDD6"/>
            </w:tcBorders>
            <w:tcMar>
              <w:top w:w="70" w:type="dxa"/>
              <w:left w:w="120" w:type="dxa"/>
              <w:bottom w:w="70" w:type="dxa"/>
              <w:right w:w="120" w:type="dxa"/>
            </w:tcMar>
            <w:vAlign w:val="center"/>
          </w:tcPr>
          <w:p w14:paraId="74493719" w14:textId="77777777" w:rsidR="00D24757" w:rsidRDefault="00800425">
            <w:r>
              <w:rPr>
                <w:b/>
                <w:bCs/>
                <w:color w:val="C0392B"/>
                <w:sz w:val="21"/>
                <w:szCs w:val="21"/>
              </w:rPr>
              <w:t>Corrective</w:t>
            </w:r>
          </w:p>
        </w:tc>
        <w:tc>
          <w:tcPr>
            <w:tcW w:w="4030" w:type="dxa"/>
            <w:tcBorders>
              <w:top w:val="single" w:sz="1" w:space="0" w:color="C8CDD6"/>
              <w:left w:val="single" w:sz="1" w:space="0" w:color="C8CDD6"/>
              <w:bottom w:val="single" w:sz="1" w:space="0" w:color="C8CDD6"/>
              <w:right w:val="single" w:sz="1" w:space="0" w:color="C8CDD6"/>
            </w:tcBorders>
            <w:tcMar>
              <w:top w:w="70" w:type="dxa"/>
              <w:left w:w="120" w:type="dxa"/>
              <w:bottom w:w="70" w:type="dxa"/>
              <w:right w:w="120" w:type="dxa"/>
            </w:tcMar>
            <w:vAlign w:val="center"/>
          </w:tcPr>
          <w:p w14:paraId="37D3BCFC" w14:textId="77777777" w:rsidR="00D24757" w:rsidRDefault="00800425">
            <w:r>
              <w:rPr>
                <w:sz w:val="21"/>
                <w:szCs w:val="21"/>
              </w:rPr>
              <w:t>Major incident management with defined roles and escalation</w:t>
            </w:r>
          </w:p>
        </w:tc>
        <w:tc>
          <w:tcPr>
            <w:tcW w:w="3630" w:type="dxa"/>
            <w:tcBorders>
              <w:top w:val="single" w:sz="1" w:space="0" w:color="C8CDD6"/>
              <w:left w:val="single" w:sz="1" w:space="0" w:color="C8CDD6"/>
              <w:bottom w:val="single" w:sz="1" w:space="0" w:color="C8CDD6"/>
              <w:right w:val="single" w:sz="1" w:space="0" w:color="C8CDD6"/>
            </w:tcBorders>
            <w:tcMar>
              <w:top w:w="70" w:type="dxa"/>
              <w:left w:w="120" w:type="dxa"/>
              <w:bottom w:w="70" w:type="dxa"/>
              <w:right w:w="120" w:type="dxa"/>
            </w:tcMar>
            <w:vAlign w:val="center"/>
          </w:tcPr>
          <w:p w14:paraId="5105CF9C" w14:textId="77777777" w:rsidR="00D24757" w:rsidRDefault="00800425">
            <w:r>
              <w:rPr>
                <w:sz w:val="21"/>
                <w:szCs w:val="21"/>
              </w:rPr>
              <w:t>Slow or disorganised response to failure</w:t>
            </w:r>
          </w:p>
        </w:tc>
      </w:tr>
      <w:tr w:rsidR="00D24757" w14:paraId="3219D1D8" w14:textId="77777777">
        <w:tc>
          <w:tcPr>
            <w:tcW w:w="1700" w:type="dxa"/>
            <w:tcBorders>
              <w:top w:val="single" w:sz="1" w:space="0" w:color="C8CDD6"/>
              <w:left w:val="single" w:sz="1" w:space="0" w:color="C8CDD6"/>
              <w:bottom w:val="single" w:sz="1" w:space="0" w:color="C8CDD6"/>
              <w:right w:val="single" w:sz="1" w:space="0" w:color="C8CDD6"/>
            </w:tcBorders>
            <w:shd w:val="clear" w:color="auto" w:fill="F4F6FA"/>
            <w:tcMar>
              <w:top w:w="70" w:type="dxa"/>
              <w:left w:w="120" w:type="dxa"/>
              <w:bottom w:w="70" w:type="dxa"/>
              <w:right w:w="120" w:type="dxa"/>
            </w:tcMar>
            <w:vAlign w:val="center"/>
          </w:tcPr>
          <w:p w14:paraId="32059838" w14:textId="77777777" w:rsidR="00D24757" w:rsidRDefault="00800425">
            <w:r>
              <w:rPr>
                <w:b/>
                <w:bCs/>
                <w:color w:val="C0392B"/>
                <w:sz w:val="21"/>
                <w:szCs w:val="21"/>
              </w:rPr>
              <w:t>Corrective</w:t>
            </w:r>
          </w:p>
        </w:tc>
        <w:tc>
          <w:tcPr>
            <w:tcW w:w="4030" w:type="dxa"/>
            <w:tcBorders>
              <w:top w:val="single" w:sz="1" w:space="0" w:color="C8CDD6"/>
              <w:left w:val="single" w:sz="1" w:space="0" w:color="C8CDD6"/>
              <w:bottom w:val="single" w:sz="1" w:space="0" w:color="C8CDD6"/>
              <w:right w:val="single" w:sz="1" w:space="0" w:color="C8CDD6"/>
            </w:tcBorders>
            <w:shd w:val="clear" w:color="auto" w:fill="F4F6FA"/>
            <w:tcMar>
              <w:top w:w="70" w:type="dxa"/>
              <w:left w:w="120" w:type="dxa"/>
              <w:bottom w:w="70" w:type="dxa"/>
              <w:right w:w="120" w:type="dxa"/>
            </w:tcMar>
            <w:vAlign w:val="center"/>
          </w:tcPr>
          <w:p w14:paraId="1BAD5CC9" w14:textId="77777777" w:rsidR="00D24757" w:rsidRDefault="00800425">
            <w:r>
              <w:rPr>
                <w:sz w:val="21"/>
                <w:szCs w:val="21"/>
              </w:rPr>
              <w:t>Automated failover and tested rollback procedures</w:t>
            </w:r>
          </w:p>
        </w:tc>
        <w:tc>
          <w:tcPr>
            <w:tcW w:w="3630" w:type="dxa"/>
            <w:tcBorders>
              <w:top w:val="single" w:sz="1" w:space="0" w:color="C8CDD6"/>
              <w:left w:val="single" w:sz="1" w:space="0" w:color="C8CDD6"/>
              <w:bottom w:val="single" w:sz="1" w:space="0" w:color="C8CDD6"/>
              <w:right w:val="single" w:sz="1" w:space="0" w:color="C8CDD6"/>
            </w:tcBorders>
            <w:shd w:val="clear" w:color="auto" w:fill="F4F6FA"/>
            <w:tcMar>
              <w:top w:w="70" w:type="dxa"/>
              <w:left w:w="120" w:type="dxa"/>
              <w:bottom w:w="70" w:type="dxa"/>
              <w:right w:w="120" w:type="dxa"/>
            </w:tcMar>
            <w:vAlign w:val="center"/>
          </w:tcPr>
          <w:p w14:paraId="64CD4696" w14:textId="77777777" w:rsidR="00D24757" w:rsidRDefault="00800425">
            <w:r>
              <w:rPr>
                <w:sz w:val="21"/>
                <w:szCs w:val="21"/>
              </w:rPr>
              <w:t>Prolonged downtime during an incident</w:t>
            </w:r>
          </w:p>
        </w:tc>
      </w:tr>
      <w:tr w:rsidR="00D24757" w14:paraId="2DBA4E7A" w14:textId="77777777">
        <w:tc>
          <w:tcPr>
            <w:tcW w:w="1700" w:type="dxa"/>
            <w:tcBorders>
              <w:top w:val="single" w:sz="1" w:space="0" w:color="C8CDD6"/>
              <w:left w:val="single" w:sz="1" w:space="0" w:color="C8CDD6"/>
              <w:bottom w:val="single" w:sz="1" w:space="0" w:color="C8CDD6"/>
              <w:right w:val="single" w:sz="1" w:space="0" w:color="C8CDD6"/>
            </w:tcBorders>
            <w:tcMar>
              <w:top w:w="70" w:type="dxa"/>
              <w:left w:w="120" w:type="dxa"/>
              <w:bottom w:w="70" w:type="dxa"/>
              <w:right w:w="120" w:type="dxa"/>
            </w:tcMar>
            <w:vAlign w:val="center"/>
          </w:tcPr>
          <w:p w14:paraId="23940DC8" w14:textId="77777777" w:rsidR="00D24757" w:rsidRDefault="00800425">
            <w:r>
              <w:rPr>
                <w:b/>
                <w:bCs/>
                <w:color w:val="C0392B"/>
                <w:sz w:val="21"/>
                <w:szCs w:val="21"/>
              </w:rPr>
              <w:t>Corrective</w:t>
            </w:r>
          </w:p>
        </w:tc>
        <w:tc>
          <w:tcPr>
            <w:tcW w:w="4030" w:type="dxa"/>
            <w:tcBorders>
              <w:top w:val="single" w:sz="1" w:space="0" w:color="C8CDD6"/>
              <w:left w:val="single" w:sz="1" w:space="0" w:color="C8CDD6"/>
              <w:bottom w:val="single" w:sz="1" w:space="0" w:color="C8CDD6"/>
              <w:right w:val="single" w:sz="1" w:space="0" w:color="C8CDD6"/>
            </w:tcBorders>
            <w:tcMar>
              <w:top w:w="70" w:type="dxa"/>
              <w:left w:w="120" w:type="dxa"/>
              <w:bottom w:w="70" w:type="dxa"/>
              <w:right w:w="120" w:type="dxa"/>
            </w:tcMar>
            <w:vAlign w:val="center"/>
          </w:tcPr>
          <w:p w14:paraId="01E181FC" w14:textId="77777777" w:rsidR="00D24757" w:rsidRDefault="00800425">
            <w:r>
              <w:rPr>
                <w:sz w:val="21"/>
                <w:szCs w:val="21"/>
              </w:rPr>
              <w:t>Root cause and problem management to prevent recurrence</w:t>
            </w:r>
          </w:p>
        </w:tc>
        <w:tc>
          <w:tcPr>
            <w:tcW w:w="3630" w:type="dxa"/>
            <w:tcBorders>
              <w:top w:val="single" w:sz="1" w:space="0" w:color="C8CDD6"/>
              <w:left w:val="single" w:sz="1" w:space="0" w:color="C8CDD6"/>
              <w:bottom w:val="single" w:sz="1" w:space="0" w:color="C8CDD6"/>
              <w:right w:val="single" w:sz="1" w:space="0" w:color="C8CDD6"/>
            </w:tcBorders>
            <w:tcMar>
              <w:top w:w="70" w:type="dxa"/>
              <w:left w:w="120" w:type="dxa"/>
              <w:bottom w:w="70" w:type="dxa"/>
              <w:right w:w="120" w:type="dxa"/>
            </w:tcMar>
            <w:vAlign w:val="center"/>
          </w:tcPr>
          <w:p w14:paraId="4344493C" w14:textId="77777777" w:rsidR="00D24757" w:rsidRDefault="00800425">
            <w:r>
              <w:rPr>
                <w:sz w:val="21"/>
                <w:szCs w:val="21"/>
              </w:rPr>
              <w:t>Repeat incidents from the same cause</w:t>
            </w:r>
          </w:p>
        </w:tc>
      </w:tr>
    </w:tbl>
    <w:p w14:paraId="5F617A55" w14:textId="77777777" w:rsidR="00D24757" w:rsidRDefault="00D24757">
      <w:pPr>
        <w:spacing w:after="80" w:line="276" w:lineRule="auto"/>
      </w:pPr>
    </w:p>
    <w:p w14:paraId="399EEAD1" w14:textId="77777777" w:rsidR="00D24757" w:rsidRDefault="00800425" w:rsidP="000179FF">
      <w:pPr>
        <w:spacing w:after="140" w:line="276" w:lineRule="auto"/>
        <w:jc w:val="both"/>
      </w:pPr>
      <w:r>
        <w:t>The control set draws on recognised</w:t>
      </w:r>
      <w:r>
        <w:t xml:space="preserve"> service management and risk guidance, including frameworks for change, incident and problem management and for the governance of enterprise technology (AXELOS, 2019; ISACA, 2019). The priority gap is the shift from reactive to predictive monitoring, which is the opportunity most able to reduce residual risk.</w:t>
      </w:r>
    </w:p>
    <w:p w14:paraId="20A328E6" w14:textId="77777777" w:rsidR="00D24757" w:rsidRDefault="00800425">
      <w:pPr>
        <w:pStyle w:val="Heading1"/>
      </w:pPr>
      <w:bookmarkStart w:id="10" w:name="_Toc231294581"/>
      <w:r>
        <w:t>9. Monitoring, Escalation and Reporting</w:t>
      </w:r>
      <w:bookmarkEnd w:id="10"/>
    </w:p>
    <w:p w14:paraId="2E64B248" w14:textId="77777777" w:rsidR="00D24757" w:rsidRDefault="00800425" w:rsidP="000179FF">
      <w:pPr>
        <w:spacing w:after="140" w:line="276" w:lineRule="auto"/>
        <w:jc w:val="both"/>
      </w:pPr>
      <w:r>
        <w:t>Indicators are measured monthly, with critical availability metrics monitored continuously. Amber readings require a documented remediation plan with an owner and a target date. Red readings are escalated to senior technology management and, where appetite is breached, reported to the relevant risk committee. The approach follows a structured cycle of identification, assessment, treatment and monitoring consistent with established risk management guidance (Hopkin, 2018; International Organization for Standa</w:t>
      </w:r>
      <w:r>
        <w:t>rdization, 2018; National Institute of Standards and Technology, 2012).</w:t>
      </w:r>
    </w:p>
    <w:p w14:paraId="68184CDF" w14:textId="77777777" w:rsidR="00D24757" w:rsidRDefault="00800425">
      <w:pPr>
        <w:pStyle w:val="Heading1"/>
      </w:pPr>
      <w:bookmarkStart w:id="11" w:name="_Toc231294582"/>
      <w:r>
        <w:t>10. Conclusion</w:t>
      </w:r>
      <w:bookmarkEnd w:id="11"/>
    </w:p>
    <w:p w14:paraId="0749E341" w14:textId="77777777" w:rsidR="00D24757" w:rsidRDefault="00800425" w:rsidP="000179FF">
      <w:pPr>
        <w:spacing w:after="140" w:line="276" w:lineRule="auto"/>
        <w:jc w:val="both"/>
      </w:pPr>
      <w:r>
        <w:t>Technology reliability risk is a material operational exposure that is driven mainly by internal weaknesses and amplified by external threats. The indicators and thresholds in this assessment make the exposure measurable, and the control set provides a sound foundation. Residual risk is currently elevated, evidenced by recurring critical incidents and threshold breaches. Reducing it depends on executing the opportunities identified in the SWOT, in particular the move to predictive monitoring, the removal of</w:t>
      </w:r>
      <w:r>
        <w:t xml:space="preserve"> single points of failure and the modernisation of the legacy estate.</w:t>
      </w:r>
    </w:p>
    <w:p w14:paraId="389FD8BB" w14:textId="77777777" w:rsidR="00D24757" w:rsidRDefault="00800425">
      <w:pPr>
        <w:pStyle w:val="Heading1"/>
        <w:pageBreakBefore/>
      </w:pPr>
      <w:bookmarkStart w:id="12" w:name="_Toc231294583"/>
      <w:r>
        <w:t>References</w:t>
      </w:r>
      <w:bookmarkEnd w:id="12"/>
    </w:p>
    <w:p w14:paraId="674A4689" w14:textId="77777777" w:rsidR="00D24757" w:rsidRDefault="00800425">
      <w:pPr>
        <w:spacing w:after="140" w:line="276" w:lineRule="auto"/>
        <w:ind w:left="460" w:hanging="460"/>
      </w:pPr>
      <w:r>
        <w:t>AXELOS. (2019). ITIL foundation: ITIL 4 edition. The Stationery Office.</w:t>
      </w:r>
    </w:p>
    <w:p w14:paraId="2780F659" w14:textId="77777777" w:rsidR="00D24757" w:rsidRDefault="00800425">
      <w:pPr>
        <w:spacing w:after="140" w:line="276" w:lineRule="auto"/>
        <w:ind w:left="460" w:hanging="460"/>
      </w:pPr>
      <w:r>
        <w:t>Basel Committee on Banking Supervision. (2011). Principles for the sound management of operational risk. Bank for International Settlements.</w:t>
      </w:r>
    </w:p>
    <w:p w14:paraId="1977827C" w14:textId="77777777" w:rsidR="00D24757" w:rsidRDefault="00800425">
      <w:pPr>
        <w:spacing w:after="140" w:line="276" w:lineRule="auto"/>
        <w:ind w:left="460" w:hanging="460"/>
      </w:pPr>
      <w:r>
        <w:t>Hopkin, P. (2018). Fundamentals of risk management: Understanding, evaluating and implementing effective risk management (5th ed.). Kogan Page.</w:t>
      </w:r>
    </w:p>
    <w:p w14:paraId="18D593D5" w14:textId="77777777" w:rsidR="00D24757" w:rsidRDefault="00800425">
      <w:pPr>
        <w:spacing w:after="140" w:line="276" w:lineRule="auto"/>
        <w:ind w:left="460" w:hanging="460"/>
      </w:pPr>
      <w:r>
        <w:t>International Organization for Standardization. (2018). ISO 31000:2018 risk management: Guidelines. ISO.</w:t>
      </w:r>
    </w:p>
    <w:p w14:paraId="5495227A" w14:textId="77777777" w:rsidR="00D24757" w:rsidRDefault="00800425">
      <w:pPr>
        <w:spacing w:after="140" w:line="276" w:lineRule="auto"/>
        <w:ind w:left="460" w:hanging="460"/>
      </w:pPr>
      <w:r>
        <w:t>ISACA. (2019). COBIT 2019 framework: Governance and management objectives. ISACA.</w:t>
      </w:r>
    </w:p>
    <w:p w14:paraId="785882D3" w14:textId="77777777" w:rsidR="00D24757" w:rsidRDefault="00800425">
      <w:pPr>
        <w:spacing w:after="140" w:line="276" w:lineRule="auto"/>
        <w:ind w:left="460" w:hanging="460"/>
      </w:pPr>
      <w:r>
        <w:t>National Institute of Standards and Technology. (2012). Guide for conducting risk assessments (Special Publication 800.30, Revision 1). U.S. Department of Commerce.</w:t>
      </w:r>
    </w:p>
    <w:sectPr w:rsidR="00D24757">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26CA06" w14:textId="77777777" w:rsidR="008D0160" w:rsidRDefault="008D0160">
      <w:r>
        <w:separator/>
      </w:r>
    </w:p>
  </w:endnote>
  <w:endnote w:type="continuationSeparator" w:id="0">
    <w:p w14:paraId="33A7258A" w14:textId="77777777" w:rsidR="008D0160" w:rsidRDefault="008D01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AD29C" w14:textId="092CFA9E" w:rsidR="00D24757" w:rsidRDefault="00800425">
    <w:pPr>
      <w:tabs>
        <w:tab w:val="right" w:pos="9360"/>
      </w:tabs>
    </w:pPr>
    <w:r>
      <w:rPr>
        <w:color w:val="5A5A5A"/>
        <w:sz w:val="16"/>
        <w:szCs w:val="16"/>
      </w:rPr>
      <w:tab/>
      <w:t xml:space="preserve">Page </w:t>
    </w:r>
    <w:r>
      <w:rPr>
        <w:color w:val="5A5A5A"/>
        <w:sz w:val="16"/>
        <w:szCs w:val="16"/>
      </w:rPr>
      <w:fldChar w:fldCharType="begin"/>
    </w:r>
    <w:r>
      <w:rPr>
        <w:color w:val="5A5A5A"/>
        <w:sz w:val="16"/>
        <w:szCs w:val="16"/>
      </w:rPr>
      <w:instrText>PAGE</w:instrText>
    </w:r>
    <w:r>
      <w:rPr>
        <w:color w:val="5A5A5A"/>
        <w:sz w:val="16"/>
        <w:szCs w:val="16"/>
      </w:rPr>
      <w:fldChar w:fldCharType="separate"/>
    </w:r>
    <w:r w:rsidR="005E4397">
      <w:rPr>
        <w:noProof/>
        <w:color w:val="5A5A5A"/>
        <w:sz w:val="16"/>
        <w:szCs w:val="16"/>
      </w:rPr>
      <w:t>2</w:t>
    </w:r>
    <w:r>
      <w:rPr>
        <w:color w:val="5A5A5A"/>
        <w:sz w:val="16"/>
        <w:szCs w:val="16"/>
      </w:rPr>
      <w:fldChar w:fldCharType="end"/>
    </w:r>
    <w:r>
      <w:rPr>
        <w:color w:val="5A5A5A"/>
        <w:sz w:val="16"/>
        <w:szCs w:val="16"/>
      </w:rPr>
      <w:t xml:space="preserve"> of </w:t>
    </w:r>
    <w:r>
      <w:rPr>
        <w:color w:val="5A5A5A"/>
        <w:sz w:val="16"/>
        <w:szCs w:val="16"/>
      </w:rPr>
      <w:fldChar w:fldCharType="begin"/>
    </w:r>
    <w:r>
      <w:rPr>
        <w:color w:val="5A5A5A"/>
        <w:sz w:val="16"/>
        <w:szCs w:val="16"/>
      </w:rPr>
      <w:instrText>NUMPAGES</w:instrText>
    </w:r>
    <w:r>
      <w:rPr>
        <w:color w:val="5A5A5A"/>
        <w:sz w:val="16"/>
        <w:szCs w:val="16"/>
      </w:rPr>
      <w:fldChar w:fldCharType="separate"/>
    </w:r>
    <w:r w:rsidR="005E4397">
      <w:rPr>
        <w:noProof/>
        <w:color w:val="5A5A5A"/>
        <w:sz w:val="16"/>
        <w:szCs w:val="16"/>
      </w:rPr>
      <w:t>1</w:t>
    </w:r>
    <w:r>
      <w:rPr>
        <w:color w:val="5A5A5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577AA9" w14:textId="77777777" w:rsidR="008D0160" w:rsidRDefault="008D0160">
      <w:r>
        <w:separator/>
      </w:r>
    </w:p>
  </w:footnote>
  <w:footnote w:type="continuationSeparator" w:id="0">
    <w:p w14:paraId="40E07355" w14:textId="77777777" w:rsidR="008D0160" w:rsidRDefault="008D01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911D7" w14:textId="77777777" w:rsidR="00D24757" w:rsidRDefault="00800425">
    <w:pPr>
      <w:pBdr>
        <w:bottom w:val="single" w:sz="4" w:space="4" w:color="C8CDD6"/>
      </w:pBdr>
      <w:tabs>
        <w:tab w:val="right" w:pos="9360"/>
      </w:tabs>
    </w:pPr>
    <w:r>
      <w:rPr>
        <w:color w:val="5A5A5A"/>
        <w:sz w:val="16"/>
        <w:szCs w:val="16"/>
      </w:rPr>
      <w:t>Technology Reliability Risk</w:t>
    </w:r>
    <w:r>
      <w:rPr>
        <w:color w:val="5A5A5A"/>
        <w:sz w:val="16"/>
        <w:szCs w:val="16"/>
      </w:rPr>
      <w:tab/>
      <w:t>Risk and Control Assessment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47BEB"/>
    <w:multiLevelType w:val="hybridMultilevel"/>
    <w:tmpl w:val="93104CA4"/>
    <w:lvl w:ilvl="0" w:tplc="9BDEFD9C">
      <w:start w:val="1"/>
      <w:numFmt w:val="bullet"/>
      <w:lvlText w:val="●"/>
      <w:lvlJc w:val="left"/>
      <w:pPr>
        <w:ind w:left="720" w:hanging="360"/>
      </w:pPr>
    </w:lvl>
    <w:lvl w:ilvl="1" w:tplc="D1AE788C">
      <w:start w:val="1"/>
      <w:numFmt w:val="bullet"/>
      <w:lvlText w:val="○"/>
      <w:lvlJc w:val="left"/>
      <w:pPr>
        <w:ind w:left="1440" w:hanging="360"/>
      </w:pPr>
    </w:lvl>
    <w:lvl w:ilvl="2" w:tplc="FBD00240">
      <w:start w:val="1"/>
      <w:numFmt w:val="bullet"/>
      <w:lvlText w:val="■"/>
      <w:lvlJc w:val="left"/>
      <w:pPr>
        <w:ind w:left="2160" w:hanging="360"/>
      </w:pPr>
    </w:lvl>
    <w:lvl w:ilvl="3" w:tplc="95182DD0">
      <w:start w:val="1"/>
      <w:numFmt w:val="bullet"/>
      <w:lvlText w:val="●"/>
      <w:lvlJc w:val="left"/>
      <w:pPr>
        <w:ind w:left="2880" w:hanging="360"/>
      </w:pPr>
    </w:lvl>
    <w:lvl w:ilvl="4" w:tplc="DC9CCF30">
      <w:start w:val="1"/>
      <w:numFmt w:val="bullet"/>
      <w:lvlText w:val="○"/>
      <w:lvlJc w:val="left"/>
      <w:pPr>
        <w:ind w:left="3600" w:hanging="360"/>
      </w:pPr>
    </w:lvl>
    <w:lvl w:ilvl="5" w:tplc="FFBC6EFE">
      <w:start w:val="1"/>
      <w:numFmt w:val="bullet"/>
      <w:lvlText w:val="■"/>
      <w:lvlJc w:val="left"/>
      <w:pPr>
        <w:ind w:left="4320" w:hanging="360"/>
      </w:pPr>
    </w:lvl>
    <w:lvl w:ilvl="6" w:tplc="82F67B54">
      <w:start w:val="1"/>
      <w:numFmt w:val="bullet"/>
      <w:lvlText w:val="●"/>
      <w:lvlJc w:val="left"/>
      <w:pPr>
        <w:ind w:left="5040" w:hanging="360"/>
      </w:pPr>
    </w:lvl>
    <w:lvl w:ilvl="7" w:tplc="D8B41E80">
      <w:start w:val="1"/>
      <w:numFmt w:val="bullet"/>
      <w:lvlText w:val="●"/>
      <w:lvlJc w:val="left"/>
      <w:pPr>
        <w:ind w:left="5760" w:hanging="360"/>
      </w:pPr>
    </w:lvl>
    <w:lvl w:ilvl="8" w:tplc="6D3C22FA">
      <w:start w:val="1"/>
      <w:numFmt w:val="bullet"/>
      <w:lvlText w:val="●"/>
      <w:lvlJc w:val="left"/>
      <w:pPr>
        <w:ind w:left="6480" w:hanging="360"/>
      </w:pPr>
    </w:lvl>
  </w:abstractNum>
  <w:abstractNum w:abstractNumId="1" w15:restartNumberingAfterBreak="0">
    <w:nsid w:val="22042445"/>
    <w:multiLevelType w:val="hybridMultilevel"/>
    <w:tmpl w:val="6DE2EA34"/>
    <w:lvl w:ilvl="0" w:tplc="8B2A682A">
      <w:start w:val="1"/>
      <w:numFmt w:val="bullet"/>
      <w:lvlText w:val="•"/>
      <w:lvlJc w:val="left"/>
      <w:pPr>
        <w:ind w:left="460" w:hanging="260"/>
      </w:pPr>
    </w:lvl>
    <w:lvl w:ilvl="1" w:tplc="7D7ED858">
      <w:numFmt w:val="decimal"/>
      <w:lvlText w:val=""/>
      <w:lvlJc w:val="left"/>
    </w:lvl>
    <w:lvl w:ilvl="2" w:tplc="60BEE9A0">
      <w:numFmt w:val="decimal"/>
      <w:lvlText w:val=""/>
      <w:lvlJc w:val="left"/>
    </w:lvl>
    <w:lvl w:ilvl="3" w:tplc="1E700DEC">
      <w:numFmt w:val="decimal"/>
      <w:lvlText w:val=""/>
      <w:lvlJc w:val="left"/>
    </w:lvl>
    <w:lvl w:ilvl="4" w:tplc="7408F5C6">
      <w:numFmt w:val="decimal"/>
      <w:lvlText w:val=""/>
      <w:lvlJc w:val="left"/>
    </w:lvl>
    <w:lvl w:ilvl="5" w:tplc="5AE6B1AC">
      <w:numFmt w:val="decimal"/>
      <w:lvlText w:val=""/>
      <w:lvlJc w:val="left"/>
    </w:lvl>
    <w:lvl w:ilvl="6" w:tplc="A5624D88">
      <w:numFmt w:val="decimal"/>
      <w:lvlText w:val=""/>
      <w:lvlJc w:val="left"/>
    </w:lvl>
    <w:lvl w:ilvl="7" w:tplc="C00C2E38">
      <w:numFmt w:val="decimal"/>
      <w:lvlText w:val=""/>
      <w:lvlJc w:val="left"/>
    </w:lvl>
    <w:lvl w:ilvl="8" w:tplc="6DC49204">
      <w:numFmt w:val="decimal"/>
      <w:lvlText w:val=""/>
      <w:lvlJc w:val="left"/>
    </w:lvl>
  </w:abstractNum>
  <w:num w:numId="1" w16cid:durableId="907762251">
    <w:abstractNumId w:val="0"/>
    <w:lvlOverride w:ilvl="0">
      <w:startOverride w:val="1"/>
    </w:lvlOverride>
  </w:num>
  <w:num w:numId="2" w16cid:durableId="204991755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5"/>
  <w:displayBackgroundShape/>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4757"/>
    <w:rsid w:val="000179FF"/>
    <w:rsid w:val="00355E40"/>
    <w:rsid w:val="0037712B"/>
    <w:rsid w:val="00421FED"/>
    <w:rsid w:val="004E0194"/>
    <w:rsid w:val="004E4AD0"/>
    <w:rsid w:val="00564669"/>
    <w:rsid w:val="005E4397"/>
    <w:rsid w:val="007F4BB2"/>
    <w:rsid w:val="00800425"/>
    <w:rsid w:val="008D0160"/>
    <w:rsid w:val="008D0AFD"/>
    <w:rsid w:val="00A121F7"/>
    <w:rsid w:val="00AC0C6C"/>
    <w:rsid w:val="00BA5B94"/>
    <w:rsid w:val="00C13525"/>
    <w:rsid w:val="00D24757"/>
    <w:rsid w:val="00D877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BF5BB"/>
  <w15:docId w15:val="{FB4C0294-6172-4F1E-9915-C7E3DBE2C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22222"/>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2E75B6"/>
      </w:pBdr>
      <w:spacing w:before="300" w:after="140"/>
      <w:outlineLvl w:val="0"/>
    </w:pPr>
    <w:rPr>
      <w:b/>
      <w:bCs/>
      <w:color w:val="1F3864"/>
      <w:sz w:val="28"/>
      <w:szCs w:val="28"/>
    </w:rPr>
  </w:style>
  <w:style w:type="paragraph" w:styleId="Heading2">
    <w:name w:val="heading 2"/>
    <w:uiPriority w:val="9"/>
    <w:unhideWhenUsed/>
    <w:qFormat/>
    <w:pPr>
      <w:spacing w:before="200" w:after="100"/>
      <w:outlineLvl w:val="1"/>
    </w:pPr>
    <w:rPr>
      <w:b/>
      <w:bCs/>
      <w:color w:val="2E4B7A"/>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E4397"/>
    <w:pPr>
      <w:spacing w:after="100"/>
    </w:pPr>
  </w:style>
  <w:style w:type="paragraph" w:styleId="TOC2">
    <w:name w:val="toc 2"/>
    <w:basedOn w:val="Normal"/>
    <w:next w:val="Normal"/>
    <w:autoRedefine/>
    <w:uiPriority w:val="39"/>
    <w:unhideWhenUsed/>
    <w:rsid w:val="005E4397"/>
    <w:pPr>
      <w:spacing w:after="100"/>
      <w:ind w:left="220"/>
    </w:pPr>
  </w:style>
  <w:style w:type="paragraph" w:styleId="Header">
    <w:name w:val="header"/>
    <w:basedOn w:val="Normal"/>
    <w:link w:val="HeaderChar"/>
    <w:uiPriority w:val="99"/>
    <w:unhideWhenUsed/>
    <w:rsid w:val="00355E40"/>
    <w:pPr>
      <w:tabs>
        <w:tab w:val="center" w:pos="4680"/>
        <w:tab w:val="right" w:pos="9360"/>
      </w:tabs>
    </w:pPr>
  </w:style>
  <w:style w:type="character" w:customStyle="1" w:styleId="HeaderChar">
    <w:name w:val="Header Char"/>
    <w:basedOn w:val="DefaultParagraphFont"/>
    <w:link w:val="Header"/>
    <w:uiPriority w:val="99"/>
    <w:rsid w:val="00355E40"/>
  </w:style>
  <w:style w:type="paragraph" w:styleId="Footer">
    <w:name w:val="footer"/>
    <w:basedOn w:val="Normal"/>
    <w:link w:val="FooterChar"/>
    <w:uiPriority w:val="99"/>
    <w:unhideWhenUsed/>
    <w:rsid w:val="00355E40"/>
    <w:pPr>
      <w:tabs>
        <w:tab w:val="center" w:pos="4680"/>
        <w:tab w:val="right" w:pos="9360"/>
      </w:tabs>
    </w:pPr>
  </w:style>
  <w:style w:type="character" w:customStyle="1" w:styleId="FooterChar">
    <w:name w:val="Footer Char"/>
    <w:basedOn w:val="DefaultParagraphFont"/>
    <w:link w:val="Footer"/>
    <w:uiPriority w:val="99"/>
    <w:rsid w:val="00355E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 /><Relationship Id="rId13"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image" Target="media/image1.png" /><Relationship Id="rId12"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footer" Target="footer1.xml" /><Relationship Id="rId5" Type="http://schemas.openxmlformats.org/officeDocument/2006/relationships/footnotes" Target="footnotes.xml" /><Relationship Id="rId10" Type="http://schemas.openxmlformats.org/officeDocument/2006/relationships/header" Target="header1.xml" /><Relationship Id="rId4" Type="http://schemas.openxmlformats.org/officeDocument/2006/relationships/webSettings" Target="webSettings.xml" /><Relationship Id="rId9" Type="http://schemas.openxmlformats.org/officeDocument/2006/relationships/image" Target="media/image3.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1915</Words>
  <Characters>10919</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Musa Oseni Oyakhire</dc:creator>
  <cp:lastModifiedBy>Musa Oseni Oyakhire</cp:lastModifiedBy>
  <cp:revision>2</cp:revision>
  <dcterms:created xsi:type="dcterms:W3CDTF">2026-06-04T02:13:00Z</dcterms:created>
  <dcterms:modified xsi:type="dcterms:W3CDTF">2026-06-04T02:13:00Z</dcterms:modified>
</cp:coreProperties>
</file>