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7D9993F" w14:textId="77777777" w:rsidR="007B15D2" w:rsidRPr="007B15D2" w:rsidRDefault="007B15D2" w:rsidP="007B15D2">
      <w:r w:rsidRPr="007B15D2">
        <w:rPr>
          <w:b/>
          <w:bCs/>
        </w:rPr>
        <w:t>Core Risk Analysis</w:t>
      </w:r>
    </w:p>
    <w:p w14:paraId="21D8F169" w14:textId="2DCEA126" w:rsidR="007B15D2" w:rsidRPr="007B15D2" w:rsidRDefault="007B15D2" w:rsidP="007B15D2">
      <w:r w:rsidRPr="007B15D2">
        <w:rPr>
          <w:b/>
          <w:bCs/>
        </w:rPr>
        <w:t>Cybersecurity &amp; Data Privacy Risk</w:t>
      </w:r>
    </w:p>
    <w:p w14:paraId="1AB215B9" w14:textId="77777777" w:rsidR="007B15D2" w:rsidRPr="007B15D2" w:rsidRDefault="007B15D2" w:rsidP="007B15D2">
      <w:r w:rsidRPr="007B15D2">
        <w:t>Risk &amp; KRI Framework</w:t>
      </w:r>
    </w:p>
    <w:p w14:paraId="16DADA17" w14:textId="1A2968A2" w:rsidR="007B15D2" w:rsidRPr="007B15D2" w:rsidRDefault="007B15D2" w:rsidP="007B15D2">
      <w:r w:rsidRPr="007B15D2">
        <w:t xml:space="preserve"> </w:t>
      </w:r>
      <w:r w:rsidRPr="007B15D2">
        <w:rPr>
          <w:b/>
          <w:bCs/>
        </w:rPr>
        <w:t>1. SWOT Connection</w:t>
      </w:r>
    </w:p>
    <w:p w14:paraId="64ED56A1" w14:textId="77777777" w:rsidR="007B15D2" w:rsidRPr="007B15D2" w:rsidRDefault="007B15D2" w:rsidP="007B15D2">
      <w:r w:rsidRPr="007B15D2">
        <w:t xml:space="preserve">This risk maps directly to a key Threat identified in the SWOT analysis: the growing exposure to cybersecurity breaches and data privacy violations as the </w:t>
      </w:r>
      <w:proofErr w:type="spellStart"/>
      <w:r w:rsidRPr="007B15D2">
        <w:t>organisation</w:t>
      </w:r>
      <w:proofErr w:type="spellEnd"/>
      <w:r w:rsidRPr="007B15D2">
        <w:t xml:space="preserve"> scales its digital and AI-driven operations.</w:t>
      </w:r>
    </w:p>
    <w:p w14:paraId="00215A20" w14:textId="77777777" w:rsidR="007B15D2" w:rsidRPr="007B15D2" w:rsidRDefault="007B15D2" w:rsidP="007B15D2">
      <w:r w:rsidRPr="007B15D2">
        <w:t xml:space="preserve"> </w:t>
      </w:r>
    </w:p>
    <w:tbl>
      <w:tblPr>
        <w:tblW w:w="9360" w:type="dxa"/>
        <w:tblInd w:w="-32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000"/>
        <w:gridCol w:w="7360"/>
      </w:tblGrid>
      <w:tr w:rsidR="007B15D2" w:rsidRPr="007B15D2" w14:paraId="77824F0E" w14:textId="77777777">
        <w:tc>
          <w:tcPr>
            <w:tcW w:w="2000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val="clear" w:color="auto" w:fill="1F4E79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  <w:hideMark/>
          </w:tcPr>
          <w:p w14:paraId="1A8B25DD" w14:textId="77777777" w:rsidR="007B15D2" w:rsidRPr="007B15D2" w:rsidRDefault="007B15D2" w:rsidP="007B15D2">
            <w:r w:rsidRPr="007B15D2">
              <w:rPr>
                <w:b/>
                <w:bCs/>
              </w:rPr>
              <w:t>SWOT Element</w:t>
            </w:r>
          </w:p>
        </w:tc>
        <w:tc>
          <w:tcPr>
            <w:tcW w:w="7360" w:type="dxa"/>
            <w:tcBorders>
              <w:top w:val="single" w:sz="2" w:space="0" w:color="CCCCCC"/>
              <w:left w:val="nil"/>
              <w:bottom w:val="single" w:sz="2" w:space="0" w:color="CCCCCC"/>
              <w:right w:val="single" w:sz="2" w:space="0" w:color="CCCCCC"/>
            </w:tcBorders>
            <w:shd w:val="clear" w:color="auto" w:fill="1F4E79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  <w:hideMark/>
          </w:tcPr>
          <w:p w14:paraId="67385784" w14:textId="77777777" w:rsidR="007B15D2" w:rsidRPr="007B15D2" w:rsidRDefault="007B15D2" w:rsidP="007B15D2">
            <w:r w:rsidRPr="007B15D2">
              <w:rPr>
                <w:b/>
                <w:bCs/>
              </w:rPr>
              <w:t>Description</w:t>
            </w:r>
          </w:p>
        </w:tc>
      </w:tr>
      <w:tr w:rsidR="007B15D2" w:rsidRPr="007B15D2" w14:paraId="2A05DB56" w14:textId="77777777">
        <w:tc>
          <w:tcPr>
            <w:tcW w:w="2000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val="clear" w:color="auto" w:fill="EBF3FB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  <w:hideMark/>
          </w:tcPr>
          <w:p w14:paraId="5D1FB1E9" w14:textId="77777777" w:rsidR="007B15D2" w:rsidRPr="007B15D2" w:rsidRDefault="007B15D2" w:rsidP="007B15D2">
            <w:r w:rsidRPr="007B15D2">
              <w:rPr>
                <w:b/>
                <w:bCs/>
              </w:rPr>
              <w:t>Threat (T1)</w:t>
            </w:r>
          </w:p>
        </w:tc>
        <w:tc>
          <w:tcPr>
            <w:tcW w:w="7360" w:type="dxa"/>
            <w:tcBorders>
              <w:top w:val="single" w:sz="2" w:space="0" w:color="CCCCCC"/>
              <w:left w:val="nil"/>
              <w:bottom w:val="single" w:sz="2" w:space="0" w:color="CCCCCC"/>
              <w:right w:val="single" w:sz="2" w:space="0" w:color="CCCCCC"/>
            </w:tcBorders>
            <w:shd w:val="clear" w:color="auto" w:fill="EBF3FB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  <w:hideMark/>
          </w:tcPr>
          <w:p w14:paraId="23F93228" w14:textId="77777777" w:rsidR="007B15D2" w:rsidRPr="007B15D2" w:rsidRDefault="007B15D2" w:rsidP="007B15D2">
            <w:r w:rsidRPr="007B15D2">
              <w:t xml:space="preserve">Increasing frequency and sophistication of cyberattacks targeting </w:t>
            </w:r>
            <w:proofErr w:type="spellStart"/>
            <w:r w:rsidRPr="007B15D2">
              <w:t>organisations</w:t>
            </w:r>
            <w:proofErr w:type="spellEnd"/>
            <w:r w:rsidRPr="007B15D2">
              <w:t xml:space="preserve"> that handle sensitive customer and operational data, compounded by expanding AI infrastructure and third-party integrations.</w:t>
            </w:r>
          </w:p>
        </w:tc>
      </w:tr>
      <w:tr w:rsidR="007B15D2" w:rsidRPr="007B15D2" w14:paraId="0C2345D1" w14:textId="77777777">
        <w:tc>
          <w:tcPr>
            <w:tcW w:w="2000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val="clear" w:color="auto" w:fill="FFF8F0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  <w:hideMark/>
          </w:tcPr>
          <w:p w14:paraId="3DBC2B90" w14:textId="77777777" w:rsidR="007B15D2" w:rsidRPr="007B15D2" w:rsidRDefault="007B15D2" w:rsidP="007B15D2">
            <w:r w:rsidRPr="007B15D2">
              <w:rPr>
                <w:b/>
                <w:bCs/>
              </w:rPr>
              <w:t>Weakness Link (W)</w:t>
            </w:r>
          </w:p>
        </w:tc>
        <w:tc>
          <w:tcPr>
            <w:tcW w:w="7360" w:type="dxa"/>
            <w:tcBorders>
              <w:top w:val="single" w:sz="2" w:space="0" w:color="CCCCCC"/>
              <w:left w:val="nil"/>
              <w:bottom w:val="single" w:sz="2" w:space="0" w:color="CCCCCC"/>
              <w:right w:val="single" w:sz="2" w:space="0" w:color="CCCCCC"/>
            </w:tcBorders>
            <w:shd w:val="clear" w:color="auto" w:fill="FFF8F0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  <w:hideMark/>
          </w:tcPr>
          <w:p w14:paraId="76E00B6D" w14:textId="77777777" w:rsidR="007B15D2" w:rsidRPr="007B15D2" w:rsidRDefault="007B15D2" w:rsidP="007B15D2">
            <w:r w:rsidRPr="007B15D2">
              <w:t xml:space="preserve">Potential gaps in </w:t>
            </w:r>
            <w:proofErr w:type="gramStart"/>
            <w:r w:rsidRPr="007B15D2">
              <w:t>cybersecurity</w:t>
            </w:r>
            <w:proofErr w:type="gramEnd"/>
            <w:r w:rsidRPr="007B15D2">
              <w:t xml:space="preserve"> maturity, staff awareness, and data governance frameworks as the </w:t>
            </w:r>
            <w:proofErr w:type="spellStart"/>
            <w:r w:rsidRPr="007B15D2">
              <w:t>organisation</w:t>
            </w:r>
            <w:proofErr w:type="spellEnd"/>
            <w:r w:rsidRPr="007B15D2">
              <w:t xml:space="preserve"> rapidly adopts new technologies and AI systems.</w:t>
            </w:r>
          </w:p>
        </w:tc>
      </w:tr>
    </w:tbl>
    <w:p w14:paraId="403A2816" w14:textId="77777777" w:rsidR="007B15D2" w:rsidRPr="007B15D2" w:rsidRDefault="007B15D2" w:rsidP="007B15D2">
      <w:r w:rsidRPr="007B15D2">
        <w:t xml:space="preserve"> </w:t>
      </w:r>
    </w:p>
    <w:p w14:paraId="08BCCCF2" w14:textId="6B08F6F5" w:rsidR="007B15D2" w:rsidRPr="007B15D2" w:rsidRDefault="007B15D2" w:rsidP="007B15D2">
      <w:r w:rsidRPr="007B15D2">
        <w:t xml:space="preserve"> </w:t>
      </w:r>
      <w:r w:rsidRPr="007B15D2">
        <w:rPr>
          <w:b/>
          <w:bCs/>
        </w:rPr>
        <w:t>2. Problem Statement</w:t>
      </w:r>
    </w:p>
    <w:p w14:paraId="4E0F1377" w14:textId="77777777" w:rsidR="007B15D2" w:rsidRPr="007B15D2" w:rsidRDefault="007B15D2" w:rsidP="007B15D2">
      <w:r w:rsidRPr="007B15D2">
        <w:t xml:space="preserve">As the </w:t>
      </w:r>
      <w:proofErr w:type="spellStart"/>
      <w:r w:rsidRPr="007B15D2">
        <w:t>organisation</w:t>
      </w:r>
      <w:proofErr w:type="spellEnd"/>
      <w:r w:rsidRPr="007B15D2">
        <w:t xml:space="preserve"> accelerates its adoption of AI technologies and expands its digital service offerings, it is processing and storing increasing volumes of sensitive customer, financial, and operational data. This creates a materially elevated exposure to cybersecurity threats — including data breaches, ransomware, </w:t>
      </w:r>
      <w:proofErr w:type="spellStart"/>
      <w:r w:rsidRPr="007B15D2">
        <w:t>unauthorised</w:t>
      </w:r>
      <w:proofErr w:type="spellEnd"/>
      <w:r w:rsidRPr="007B15D2">
        <w:t xml:space="preserve"> access, and regulatory non-compliance.</w:t>
      </w:r>
    </w:p>
    <w:p w14:paraId="336A94DF" w14:textId="77777777" w:rsidR="007B15D2" w:rsidRPr="007B15D2" w:rsidRDefault="007B15D2" w:rsidP="007B15D2">
      <w:r w:rsidRPr="007B15D2">
        <w:t xml:space="preserve">At the current stage of growth, the </w:t>
      </w:r>
      <w:proofErr w:type="spellStart"/>
      <w:r w:rsidRPr="007B15D2">
        <w:t>organisation</w:t>
      </w:r>
      <w:proofErr w:type="spellEnd"/>
      <w:r w:rsidRPr="007B15D2">
        <w:t xml:space="preserve"> may not yet have fully mature security controls, incident response capabilities, or data privacy governance frameworks to match the pace of its digital transformation. A successful cyberattack or data privacy breach could result in:</w:t>
      </w:r>
    </w:p>
    <w:p w14:paraId="100EA009" w14:textId="0A009120" w:rsidR="007B15D2" w:rsidRDefault="007B15D2" w:rsidP="007B15D2">
      <w:pPr>
        <w:numPr>
          <w:ilvl w:val="0"/>
          <w:numId w:val="3"/>
        </w:numPr>
      </w:pPr>
      <w:r w:rsidRPr="007B15D2">
        <w:t>Significant financial penalties under data protection regulations (e.g. GDPR, PDPA, or equivalent)</w:t>
      </w:r>
    </w:p>
    <w:p w14:paraId="52570CC1" w14:textId="7F12A458" w:rsidR="007B15D2" w:rsidRPr="007B15D2" w:rsidRDefault="007B15D2" w:rsidP="007B15D2">
      <w:pPr>
        <w:numPr>
          <w:ilvl w:val="0"/>
          <w:numId w:val="3"/>
        </w:numPr>
      </w:pPr>
      <w:r w:rsidRPr="007B15D2">
        <w:lastRenderedPageBreak/>
        <w:t>Reputational damage and erosion of customer trust</w:t>
      </w:r>
    </w:p>
    <w:p w14:paraId="709136B4" w14:textId="77777777" w:rsidR="007B15D2" w:rsidRPr="007B15D2" w:rsidRDefault="007B15D2" w:rsidP="007B15D2">
      <w:pPr>
        <w:numPr>
          <w:ilvl w:val="0"/>
          <w:numId w:val="3"/>
        </w:numPr>
      </w:pPr>
      <w:r w:rsidRPr="007B15D2">
        <w:t>Operational disruption and system downtime</w:t>
      </w:r>
    </w:p>
    <w:p w14:paraId="0DEC9B7E" w14:textId="77777777" w:rsidR="007B15D2" w:rsidRPr="007B15D2" w:rsidRDefault="007B15D2" w:rsidP="007B15D2">
      <w:pPr>
        <w:numPr>
          <w:ilvl w:val="0"/>
          <w:numId w:val="3"/>
        </w:numPr>
      </w:pPr>
      <w:r w:rsidRPr="007B15D2">
        <w:t>Loss of competitive advantage through intellectual property theft</w:t>
      </w:r>
    </w:p>
    <w:p w14:paraId="4915ED3E" w14:textId="77777777" w:rsidR="007B15D2" w:rsidRPr="007B15D2" w:rsidRDefault="007B15D2" w:rsidP="007B15D2">
      <w:r w:rsidRPr="007B15D2">
        <w:t>Active monitoring of cybersecurity risk indicators is therefore critical to provide early warning of deteriorating security posture before a breach or regulatory breach occurs.</w:t>
      </w:r>
    </w:p>
    <w:p w14:paraId="1E49A601" w14:textId="3D0B8B1C" w:rsidR="007B15D2" w:rsidRPr="007B15D2" w:rsidRDefault="007B15D2" w:rsidP="007B15D2">
      <w:r w:rsidRPr="007B15D2">
        <w:t xml:space="preserve"> </w:t>
      </w:r>
      <w:r w:rsidRPr="007B15D2">
        <w:rPr>
          <w:b/>
          <w:bCs/>
        </w:rPr>
        <w:t>3. Risk Type</w:t>
      </w:r>
    </w:p>
    <w:p w14:paraId="0A724930" w14:textId="77777777" w:rsidR="007B15D2" w:rsidRPr="007B15D2" w:rsidRDefault="007B15D2" w:rsidP="007B15D2">
      <w:r w:rsidRPr="007B15D2">
        <w:t xml:space="preserve"> </w:t>
      </w:r>
    </w:p>
    <w:tbl>
      <w:tblPr>
        <w:tblW w:w="9360" w:type="dxa"/>
        <w:tblInd w:w="-32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400"/>
        <w:gridCol w:w="6960"/>
      </w:tblGrid>
      <w:tr w:rsidR="007B15D2" w:rsidRPr="007B15D2" w14:paraId="5F646507" w14:textId="77777777">
        <w:tc>
          <w:tcPr>
            <w:tcW w:w="2400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val="clear" w:color="auto" w:fill="1F4E79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  <w:hideMark/>
          </w:tcPr>
          <w:p w14:paraId="5D6E5B3A" w14:textId="77777777" w:rsidR="007B15D2" w:rsidRPr="007B15D2" w:rsidRDefault="007B15D2" w:rsidP="007B15D2">
            <w:r w:rsidRPr="007B15D2">
              <w:rPr>
                <w:b/>
                <w:bCs/>
              </w:rPr>
              <w:t>Attribute</w:t>
            </w:r>
          </w:p>
        </w:tc>
        <w:tc>
          <w:tcPr>
            <w:tcW w:w="6960" w:type="dxa"/>
            <w:tcBorders>
              <w:top w:val="single" w:sz="2" w:space="0" w:color="CCCCCC"/>
              <w:left w:val="nil"/>
              <w:bottom w:val="single" w:sz="2" w:space="0" w:color="CCCCCC"/>
              <w:right w:val="single" w:sz="2" w:space="0" w:color="CCCCCC"/>
            </w:tcBorders>
            <w:shd w:val="clear" w:color="auto" w:fill="1F4E79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  <w:hideMark/>
          </w:tcPr>
          <w:p w14:paraId="6DAEA106" w14:textId="77777777" w:rsidR="007B15D2" w:rsidRPr="007B15D2" w:rsidRDefault="007B15D2" w:rsidP="007B15D2">
            <w:r w:rsidRPr="007B15D2">
              <w:rPr>
                <w:b/>
                <w:bCs/>
              </w:rPr>
              <w:t>Detail</w:t>
            </w:r>
          </w:p>
        </w:tc>
      </w:tr>
      <w:tr w:rsidR="007B15D2" w:rsidRPr="007B15D2" w14:paraId="59630ADD" w14:textId="77777777">
        <w:tc>
          <w:tcPr>
            <w:tcW w:w="2400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val="clear" w:color="auto" w:fill="EBF3FB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  <w:hideMark/>
          </w:tcPr>
          <w:p w14:paraId="2984B581" w14:textId="77777777" w:rsidR="007B15D2" w:rsidRPr="007B15D2" w:rsidRDefault="007B15D2" w:rsidP="007B15D2">
            <w:r w:rsidRPr="007B15D2">
              <w:rPr>
                <w:b/>
                <w:bCs/>
              </w:rPr>
              <w:t>Risk Orientation</w:t>
            </w:r>
          </w:p>
        </w:tc>
        <w:tc>
          <w:tcPr>
            <w:tcW w:w="6960" w:type="dxa"/>
            <w:tcBorders>
              <w:top w:val="single" w:sz="2" w:space="0" w:color="CCCCCC"/>
              <w:left w:val="nil"/>
              <w:bottom w:val="single" w:sz="2" w:space="0" w:color="CCCCCC"/>
              <w:right w:val="single" w:sz="2" w:space="0" w:color="CCCCCC"/>
            </w:tcBorders>
            <w:shd w:val="clear" w:color="auto" w:fill="EBF3FB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  <w:hideMark/>
          </w:tcPr>
          <w:p w14:paraId="6333E848" w14:textId="77777777" w:rsidR="007B15D2" w:rsidRPr="007B15D2" w:rsidRDefault="007B15D2" w:rsidP="007B15D2">
            <w:r w:rsidRPr="007B15D2">
              <w:t>Negative Risk — this risk represents a potential downside event that must be prevented or mitigated.</w:t>
            </w:r>
          </w:p>
        </w:tc>
      </w:tr>
      <w:tr w:rsidR="007B15D2" w:rsidRPr="007B15D2" w14:paraId="2379231F" w14:textId="77777777">
        <w:tc>
          <w:tcPr>
            <w:tcW w:w="2400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val="clear" w:color="auto" w:fill="F9F9F9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  <w:hideMark/>
          </w:tcPr>
          <w:p w14:paraId="47A4B207" w14:textId="77777777" w:rsidR="007B15D2" w:rsidRPr="007B15D2" w:rsidRDefault="007B15D2" w:rsidP="007B15D2">
            <w:r w:rsidRPr="007B15D2">
              <w:rPr>
                <w:b/>
                <w:bCs/>
              </w:rPr>
              <w:t>Risk Category</w:t>
            </w:r>
          </w:p>
        </w:tc>
        <w:tc>
          <w:tcPr>
            <w:tcW w:w="6960" w:type="dxa"/>
            <w:tcBorders>
              <w:top w:val="single" w:sz="2" w:space="0" w:color="CCCCCC"/>
              <w:left w:val="nil"/>
              <w:bottom w:val="single" w:sz="2" w:space="0" w:color="CCCCCC"/>
              <w:right w:val="single" w:sz="2" w:space="0" w:color="CCCCCC"/>
            </w:tcBorders>
            <w:shd w:val="clear" w:color="auto" w:fill="F9F9F9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  <w:hideMark/>
          </w:tcPr>
          <w:p w14:paraId="144E860B" w14:textId="77777777" w:rsidR="007B15D2" w:rsidRPr="007B15D2" w:rsidRDefault="007B15D2" w:rsidP="007B15D2">
            <w:r w:rsidRPr="007B15D2">
              <w:t>Operational Risk / Technology Risk / Compliance &amp; Regulatory Risk</w:t>
            </w:r>
          </w:p>
        </w:tc>
      </w:tr>
      <w:tr w:rsidR="007B15D2" w:rsidRPr="007B15D2" w14:paraId="2B1B83F0" w14:textId="77777777">
        <w:tc>
          <w:tcPr>
            <w:tcW w:w="2400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val="clear" w:color="auto" w:fill="EBF3FB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  <w:hideMark/>
          </w:tcPr>
          <w:p w14:paraId="79452EE8" w14:textId="77777777" w:rsidR="007B15D2" w:rsidRPr="007B15D2" w:rsidRDefault="007B15D2" w:rsidP="007B15D2">
            <w:r w:rsidRPr="007B15D2">
              <w:rPr>
                <w:b/>
                <w:bCs/>
              </w:rPr>
              <w:t>Risk Driver</w:t>
            </w:r>
          </w:p>
        </w:tc>
        <w:tc>
          <w:tcPr>
            <w:tcW w:w="6960" w:type="dxa"/>
            <w:tcBorders>
              <w:top w:val="single" w:sz="2" w:space="0" w:color="CCCCCC"/>
              <w:left w:val="nil"/>
              <w:bottom w:val="single" w:sz="2" w:space="0" w:color="CCCCCC"/>
              <w:right w:val="single" w:sz="2" w:space="0" w:color="CCCCCC"/>
            </w:tcBorders>
            <w:shd w:val="clear" w:color="auto" w:fill="EBF3FB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  <w:hideMark/>
          </w:tcPr>
          <w:p w14:paraId="6E256188" w14:textId="77777777" w:rsidR="007B15D2" w:rsidRPr="007B15D2" w:rsidRDefault="007B15D2" w:rsidP="007B15D2">
            <w:r w:rsidRPr="007B15D2">
              <w:t>Rapid digital expansion, AI system integration, third-party vendor dependencies, and evolving regulatory requirements.</w:t>
            </w:r>
          </w:p>
        </w:tc>
      </w:tr>
    </w:tbl>
    <w:p w14:paraId="59A14675" w14:textId="77777777" w:rsidR="007B15D2" w:rsidRPr="007B15D2" w:rsidRDefault="007B15D2" w:rsidP="007B15D2">
      <w:r w:rsidRPr="007B15D2">
        <w:t xml:space="preserve"> </w:t>
      </w:r>
    </w:p>
    <w:p w14:paraId="7BD260E5" w14:textId="7EE47F8B" w:rsidR="007B15D2" w:rsidRPr="007B15D2" w:rsidRDefault="007B15D2" w:rsidP="007B15D2">
      <w:r w:rsidRPr="007B15D2">
        <w:t xml:space="preserve"> </w:t>
      </w:r>
      <w:r w:rsidRPr="007B15D2">
        <w:rPr>
          <w:b/>
          <w:bCs/>
        </w:rPr>
        <w:t>4. Key Leading KRI</w:t>
      </w:r>
      <w:r w:rsidRPr="007B15D2">
        <w:t xml:space="preserve"> </w:t>
      </w:r>
    </w:p>
    <w:tbl>
      <w:tblPr>
        <w:tblW w:w="9360" w:type="dxa"/>
        <w:tblInd w:w="-32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800"/>
        <w:gridCol w:w="6560"/>
      </w:tblGrid>
      <w:tr w:rsidR="007B15D2" w:rsidRPr="007B15D2" w14:paraId="4C717B9A" w14:textId="77777777">
        <w:tc>
          <w:tcPr>
            <w:tcW w:w="2800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val="clear" w:color="auto" w:fill="1F4E79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  <w:hideMark/>
          </w:tcPr>
          <w:p w14:paraId="50DC281A" w14:textId="77777777" w:rsidR="007B15D2" w:rsidRPr="007B15D2" w:rsidRDefault="007B15D2" w:rsidP="007B15D2">
            <w:r w:rsidRPr="007B15D2">
              <w:rPr>
                <w:b/>
                <w:bCs/>
              </w:rPr>
              <w:t>KRI Field</w:t>
            </w:r>
          </w:p>
        </w:tc>
        <w:tc>
          <w:tcPr>
            <w:tcW w:w="6560" w:type="dxa"/>
            <w:tcBorders>
              <w:top w:val="single" w:sz="2" w:space="0" w:color="CCCCCC"/>
              <w:left w:val="nil"/>
              <w:bottom w:val="single" w:sz="2" w:space="0" w:color="CCCCCC"/>
              <w:right w:val="single" w:sz="2" w:space="0" w:color="CCCCCC"/>
            </w:tcBorders>
            <w:shd w:val="clear" w:color="auto" w:fill="1F4E79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  <w:hideMark/>
          </w:tcPr>
          <w:p w14:paraId="28FB517A" w14:textId="77777777" w:rsidR="007B15D2" w:rsidRPr="007B15D2" w:rsidRDefault="007B15D2" w:rsidP="007B15D2">
            <w:r w:rsidRPr="007B15D2">
              <w:rPr>
                <w:b/>
                <w:bCs/>
              </w:rPr>
              <w:t>Detail</w:t>
            </w:r>
          </w:p>
        </w:tc>
      </w:tr>
      <w:tr w:rsidR="007B15D2" w:rsidRPr="007B15D2" w14:paraId="1A3A4A7B" w14:textId="77777777">
        <w:tc>
          <w:tcPr>
            <w:tcW w:w="2800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val="clear" w:color="auto" w:fill="EBF3FB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  <w:hideMark/>
          </w:tcPr>
          <w:p w14:paraId="389FAB52" w14:textId="77777777" w:rsidR="007B15D2" w:rsidRPr="007B15D2" w:rsidRDefault="007B15D2" w:rsidP="007B15D2">
            <w:r w:rsidRPr="007B15D2">
              <w:rPr>
                <w:b/>
                <w:bCs/>
              </w:rPr>
              <w:t>Selected KRI</w:t>
            </w:r>
          </w:p>
        </w:tc>
        <w:tc>
          <w:tcPr>
            <w:tcW w:w="6560" w:type="dxa"/>
            <w:tcBorders>
              <w:top w:val="single" w:sz="2" w:space="0" w:color="CCCCCC"/>
              <w:left w:val="nil"/>
              <w:bottom w:val="single" w:sz="2" w:space="0" w:color="CCCCCC"/>
              <w:right w:val="single" w:sz="2" w:space="0" w:color="CCCCCC"/>
            </w:tcBorders>
            <w:shd w:val="clear" w:color="auto" w:fill="EBF3FB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  <w:hideMark/>
          </w:tcPr>
          <w:p w14:paraId="607C439A" w14:textId="77777777" w:rsidR="007B15D2" w:rsidRPr="007B15D2" w:rsidRDefault="007B15D2" w:rsidP="007B15D2">
            <w:r w:rsidRPr="007B15D2">
              <w:rPr>
                <w:b/>
                <w:bCs/>
              </w:rPr>
              <w:t>Number of Critical or High-Severity Unresolved Security Vulnerabilities (per month)</w:t>
            </w:r>
          </w:p>
        </w:tc>
      </w:tr>
      <w:tr w:rsidR="007B15D2" w:rsidRPr="007B15D2" w14:paraId="77606AEF" w14:textId="77777777">
        <w:tc>
          <w:tcPr>
            <w:tcW w:w="2800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val="clear" w:color="auto" w:fill="F9F9F9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  <w:hideMark/>
          </w:tcPr>
          <w:p w14:paraId="49481ADD" w14:textId="77777777" w:rsidR="007B15D2" w:rsidRPr="007B15D2" w:rsidRDefault="007B15D2" w:rsidP="007B15D2">
            <w:r w:rsidRPr="007B15D2">
              <w:rPr>
                <w:b/>
                <w:bCs/>
              </w:rPr>
              <w:t>Why Leading?</w:t>
            </w:r>
          </w:p>
        </w:tc>
        <w:tc>
          <w:tcPr>
            <w:tcW w:w="6560" w:type="dxa"/>
            <w:tcBorders>
              <w:top w:val="single" w:sz="2" w:space="0" w:color="CCCCCC"/>
              <w:left w:val="nil"/>
              <w:bottom w:val="single" w:sz="2" w:space="0" w:color="CCCCCC"/>
              <w:right w:val="single" w:sz="2" w:space="0" w:color="CCCCCC"/>
            </w:tcBorders>
            <w:shd w:val="clear" w:color="auto" w:fill="F9F9F9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  <w:hideMark/>
          </w:tcPr>
          <w:p w14:paraId="6E3B6361" w14:textId="77777777" w:rsidR="007B15D2" w:rsidRPr="007B15D2" w:rsidRDefault="007B15D2" w:rsidP="007B15D2">
            <w:r w:rsidRPr="007B15D2">
              <w:t>Unresolved vulnerabilities are a precursor to potential exploitation. Tracking their volume and severity provides advance warning of rising breach likelihood before an incident occurs.</w:t>
            </w:r>
          </w:p>
        </w:tc>
      </w:tr>
      <w:tr w:rsidR="007B15D2" w:rsidRPr="007B15D2" w14:paraId="05FFFB7D" w14:textId="77777777">
        <w:tc>
          <w:tcPr>
            <w:tcW w:w="2800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val="clear" w:color="auto" w:fill="EBF3FB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  <w:hideMark/>
          </w:tcPr>
          <w:p w14:paraId="48F345D7" w14:textId="77777777" w:rsidR="007B15D2" w:rsidRPr="007B15D2" w:rsidRDefault="007B15D2" w:rsidP="007B15D2">
            <w:r w:rsidRPr="007B15D2">
              <w:rPr>
                <w:b/>
                <w:bCs/>
              </w:rPr>
              <w:lastRenderedPageBreak/>
              <w:t>Data Source</w:t>
            </w:r>
          </w:p>
        </w:tc>
        <w:tc>
          <w:tcPr>
            <w:tcW w:w="6560" w:type="dxa"/>
            <w:tcBorders>
              <w:top w:val="single" w:sz="2" w:space="0" w:color="CCCCCC"/>
              <w:left w:val="nil"/>
              <w:bottom w:val="single" w:sz="2" w:space="0" w:color="CCCCCC"/>
              <w:right w:val="single" w:sz="2" w:space="0" w:color="CCCCCC"/>
            </w:tcBorders>
            <w:shd w:val="clear" w:color="auto" w:fill="EBF3FB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  <w:hideMark/>
          </w:tcPr>
          <w:p w14:paraId="37CB1C0D" w14:textId="77777777" w:rsidR="007B15D2" w:rsidRPr="007B15D2" w:rsidRDefault="007B15D2" w:rsidP="007B15D2">
            <w:r w:rsidRPr="007B15D2">
              <w:t>Internal vulnerability scanning tools (e.g. Tenable, Qualys, or equivalent), penetration testing reports, and IT security dashboards.</w:t>
            </w:r>
          </w:p>
        </w:tc>
      </w:tr>
      <w:tr w:rsidR="007B15D2" w:rsidRPr="007B15D2" w14:paraId="0DADCE53" w14:textId="77777777">
        <w:tc>
          <w:tcPr>
            <w:tcW w:w="2800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val="clear" w:color="auto" w:fill="F9F9F9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  <w:hideMark/>
          </w:tcPr>
          <w:p w14:paraId="485F98F1" w14:textId="77777777" w:rsidR="007B15D2" w:rsidRPr="007B15D2" w:rsidRDefault="007B15D2" w:rsidP="007B15D2">
            <w:r w:rsidRPr="007B15D2">
              <w:rPr>
                <w:b/>
                <w:bCs/>
              </w:rPr>
              <w:t>Measurement Frequency</w:t>
            </w:r>
          </w:p>
        </w:tc>
        <w:tc>
          <w:tcPr>
            <w:tcW w:w="6560" w:type="dxa"/>
            <w:tcBorders>
              <w:top w:val="single" w:sz="2" w:space="0" w:color="CCCCCC"/>
              <w:left w:val="nil"/>
              <w:bottom w:val="single" w:sz="2" w:space="0" w:color="CCCCCC"/>
              <w:right w:val="single" w:sz="2" w:space="0" w:color="CCCCCC"/>
            </w:tcBorders>
            <w:shd w:val="clear" w:color="auto" w:fill="F9F9F9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  <w:hideMark/>
          </w:tcPr>
          <w:p w14:paraId="167B27AD" w14:textId="77777777" w:rsidR="007B15D2" w:rsidRPr="007B15D2" w:rsidRDefault="007B15D2" w:rsidP="007B15D2">
            <w:r w:rsidRPr="007B15D2">
              <w:t>Monthly reporting, with real-time alerting for any new Critical-severity findings.</w:t>
            </w:r>
          </w:p>
        </w:tc>
      </w:tr>
    </w:tbl>
    <w:p w14:paraId="5FD0FBA6" w14:textId="77777777" w:rsidR="007B15D2" w:rsidRPr="007B15D2" w:rsidRDefault="007B15D2" w:rsidP="007B15D2">
      <w:r w:rsidRPr="007B15D2">
        <w:t xml:space="preserve"> </w:t>
      </w:r>
    </w:p>
    <w:p w14:paraId="5EC09455" w14:textId="2D3EC788" w:rsidR="007B15D2" w:rsidRPr="007B15D2" w:rsidRDefault="007B15D2" w:rsidP="007B15D2">
      <w:r w:rsidRPr="007B15D2">
        <w:t xml:space="preserve"> </w:t>
      </w:r>
      <w:r w:rsidRPr="007B15D2">
        <w:rPr>
          <w:b/>
          <w:bCs/>
        </w:rPr>
        <w:t>5. Traffic Light Thresholds</w:t>
      </w:r>
    </w:p>
    <w:p w14:paraId="1D075939" w14:textId="77777777" w:rsidR="007B15D2" w:rsidRPr="007B15D2" w:rsidRDefault="007B15D2" w:rsidP="007B15D2">
      <w:r w:rsidRPr="007B15D2">
        <w:t>Thresholds apply to the monthly count of unresolved Critical or High-severity security vulnerabilities outstanding beyond their SLA remediation period.</w:t>
      </w:r>
    </w:p>
    <w:p w14:paraId="3DF6991A" w14:textId="77777777" w:rsidR="007B15D2" w:rsidRPr="007B15D2" w:rsidRDefault="007B15D2" w:rsidP="007B15D2">
      <w:r w:rsidRPr="007B15D2">
        <w:t xml:space="preserve"> </w:t>
      </w:r>
    </w:p>
    <w:tbl>
      <w:tblPr>
        <w:tblW w:w="9360" w:type="dxa"/>
        <w:tblInd w:w="-32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1200"/>
        <w:gridCol w:w="2080"/>
        <w:gridCol w:w="3040"/>
        <w:gridCol w:w="3040"/>
      </w:tblGrid>
      <w:tr w:rsidR="007B15D2" w:rsidRPr="007B15D2" w14:paraId="1F396121" w14:textId="77777777">
        <w:tc>
          <w:tcPr>
            <w:tcW w:w="1200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val="clear" w:color="auto" w:fill="1F4E79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  <w:hideMark/>
          </w:tcPr>
          <w:p w14:paraId="385C5988" w14:textId="77777777" w:rsidR="007B15D2" w:rsidRPr="007B15D2" w:rsidRDefault="007B15D2" w:rsidP="007B15D2">
            <w:r w:rsidRPr="007B15D2">
              <w:rPr>
                <w:b/>
                <w:bCs/>
              </w:rPr>
              <w:t>Status</w:t>
            </w:r>
          </w:p>
        </w:tc>
        <w:tc>
          <w:tcPr>
            <w:tcW w:w="2080" w:type="dxa"/>
            <w:tcBorders>
              <w:top w:val="single" w:sz="2" w:space="0" w:color="CCCCCC"/>
              <w:left w:val="nil"/>
              <w:bottom w:val="single" w:sz="2" w:space="0" w:color="CCCCCC"/>
              <w:right w:val="single" w:sz="2" w:space="0" w:color="CCCCCC"/>
            </w:tcBorders>
            <w:shd w:val="clear" w:color="auto" w:fill="1F4E79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  <w:hideMark/>
          </w:tcPr>
          <w:p w14:paraId="49E37D23" w14:textId="77777777" w:rsidR="007B15D2" w:rsidRPr="007B15D2" w:rsidRDefault="007B15D2" w:rsidP="007B15D2">
            <w:r w:rsidRPr="007B15D2">
              <w:rPr>
                <w:b/>
                <w:bCs/>
              </w:rPr>
              <w:t>Level</w:t>
            </w:r>
          </w:p>
        </w:tc>
        <w:tc>
          <w:tcPr>
            <w:tcW w:w="3040" w:type="dxa"/>
            <w:tcBorders>
              <w:top w:val="single" w:sz="2" w:space="0" w:color="CCCCCC"/>
              <w:left w:val="nil"/>
              <w:bottom w:val="single" w:sz="2" w:space="0" w:color="CCCCCC"/>
              <w:right w:val="single" w:sz="2" w:space="0" w:color="CCCCCC"/>
            </w:tcBorders>
            <w:shd w:val="clear" w:color="auto" w:fill="1F4E79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  <w:hideMark/>
          </w:tcPr>
          <w:p w14:paraId="3744938A" w14:textId="77777777" w:rsidR="007B15D2" w:rsidRPr="007B15D2" w:rsidRDefault="007B15D2" w:rsidP="007B15D2">
            <w:r w:rsidRPr="007B15D2">
              <w:rPr>
                <w:b/>
                <w:bCs/>
              </w:rPr>
              <w:t>KRI Threshold</w:t>
            </w:r>
          </w:p>
        </w:tc>
        <w:tc>
          <w:tcPr>
            <w:tcW w:w="3040" w:type="dxa"/>
            <w:tcBorders>
              <w:top w:val="single" w:sz="2" w:space="0" w:color="CCCCCC"/>
              <w:left w:val="nil"/>
              <w:bottom w:val="single" w:sz="2" w:space="0" w:color="CCCCCC"/>
              <w:right w:val="single" w:sz="2" w:space="0" w:color="CCCCCC"/>
            </w:tcBorders>
            <w:shd w:val="clear" w:color="auto" w:fill="1F4E79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  <w:hideMark/>
          </w:tcPr>
          <w:p w14:paraId="5CDCD738" w14:textId="77777777" w:rsidR="007B15D2" w:rsidRPr="007B15D2" w:rsidRDefault="007B15D2" w:rsidP="007B15D2">
            <w:r w:rsidRPr="007B15D2">
              <w:rPr>
                <w:b/>
                <w:bCs/>
              </w:rPr>
              <w:t>Trigger Condition</w:t>
            </w:r>
          </w:p>
        </w:tc>
      </w:tr>
      <w:tr w:rsidR="007B15D2" w:rsidRPr="007B15D2" w14:paraId="5882277D" w14:textId="77777777">
        <w:tc>
          <w:tcPr>
            <w:tcW w:w="1200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val="clear" w:color="auto" w:fill="1E8449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  <w:hideMark/>
          </w:tcPr>
          <w:p w14:paraId="774FE409" w14:textId="77777777" w:rsidR="007B15D2" w:rsidRPr="007B15D2" w:rsidRDefault="007B15D2" w:rsidP="007B15D2">
            <w:r w:rsidRPr="007B15D2">
              <w:rPr>
                <w:b/>
                <w:bCs/>
              </w:rPr>
              <w:t>GREEN</w:t>
            </w:r>
          </w:p>
        </w:tc>
        <w:tc>
          <w:tcPr>
            <w:tcW w:w="2080" w:type="dxa"/>
            <w:tcBorders>
              <w:top w:val="single" w:sz="2" w:space="0" w:color="CCCCCC"/>
              <w:left w:val="nil"/>
              <w:bottom w:val="single" w:sz="2" w:space="0" w:color="CCCCCC"/>
              <w:right w:val="single" w:sz="2" w:space="0" w:color="CCCCCC"/>
            </w:tcBorders>
            <w:shd w:val="clear" w:color="auto" w:fill="F5F5F5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  <w:hideMark/>
          </w:tcPr>
          <w:p w14:paraId="4EEC1E30" w14:textId="77777777" w:rsidR="007B15D2" w:rsidRPr="007B15D2" w:rsidRDefault="007B15D2" w:rsidP="007B15D2">
            <w:r w:rsidRPr="007B15D2">
              <w:t>Within Tolerance</w:t>
            </w:r>
          </w:p>
        </w:tc>
        <w:tc>
          <w:tcPr>
            <w:tcW w:w="3040" w:type="dxa"/>
            <w:tcBorders>
              <w:top w:val="single" w:sz="2" w:space="0" w:color="CCCCCC"/>
              <w:left w:val="nil"/>
              <w:bottom w:val="single" w:sz="2" w:space="0" w:color="CCCCCC"/>
              <w:right w:val="single" w:sz="2" w:space="0" w:color="CCCCCC"/>
            </w:tcBorders>
            <w:shd w:val="clear" w:color="auto" w:fill="F5F5F5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  <w:hideMark/>
          </w:tcPr>
          <w:p w14:paraId="534EE716" w14:textId="77777777" w:rsidR="007B15D2" w:rsidRPr="007B15D2" w:rsidRDefault="007B15D2" w:rsidP="007B15D2">
            <w:r w:rsidRPr="007B15D2">
              <w:t>0 Critical / ≤2 High unresolved past SLA</w:t>
            </w:r>
          </w:p>
        </w:tc>
        <w:tc>
          <w:tcPr>
            <w:tcW w:w="3040" w:type="dxa"/>
            <w:tcBorders>
              <w:top w:val="single" w:sz="2" w:space="0" w:color="CCCCCC"/>
              <w:left w:val="nil"/>
              <w:bottom w:val="single" w:sz="2" w:space="0" w:color="CCCCCC"/>
              <w:right w:val="single" w:sz="2" w:space="0" w:color="CCCCCC"/>
            </w:tcBorders>
            <w:shd w:val="clear" w:color="auto" w:fill="F5F5F5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  <w:hideMark/>
          </w:tcPr>
          <w:p w14:paraId="1504140E" w14:textId="77777777" w:rsidR="007B15D2" w:rsidRPr="007B15D2" w:rsidRDefault="007B15D2" w:rsidP="007B15D2">
            <w:r w:rsidRPr="007B15D2">
              <w:t xml:space="preserve">Security posture is sound. All critical vulnerabilities </w:t>
            </w:r>
            <w:proofErr w:type="gramStart"/>
            <w:r w:rsidRPr="007B15D2">
              <w:t>remediated</w:t>
            </w:r>
            <w:proofErr w:type="gramEnd"/>
            <w:r w:rsidRPr="007B15D2">
              <w:t xml:space="preserve"> within SLA. Normal monitoring continues.</w:t>
            </w:r>
          </w:p>
        </w:tc>
      </w:tr>
      <w:tr w:rsidR="007B15D2" w:rsidRPr="007B15D2" w14:paraId="2E0B03B0" w14:textId="77777777">
        <w:tc>
          <w:tcPr>
            <w:tcW w:w="1200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val="clear" w:color="auto" w:fill="D4A017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  <w:hideMark/>
          </w:tcPr>
          <w:p w14:paraId="1431CE6A" w14:textId="77777777" w:rsidR="007B15D2" w:rsidRPr="007B15D2" w:rsidRDefault="007B15D2" w:rsidP="007B15D2">
            <w:r w:rsidRPr="007B15D2">
              <w:rPr>
                <w:b/>
                <w:bCs/>
              </w:rPr>
              <w:t>AMBER</w:t>
            </w:r>
          </w:p>
        </w:tc>
        <w:tc>
          <w:tcPr>
            <w:tcW w:w="2080" w:type="dxa"/>
            <w:tcBorders>
              <w:top w:val="single" w:sz="2" w:space="0" w:color="CCCCCC"/>
              <w:left w:val="nil"/>
              <w:bottom w:val="single" w:sz="2" w:space="0" w:color="CCCCCC"/>
              <w:right w:val="single" w:sz="2" w:space="0" w:color="CCCCCC"/>
            </w:tcBorders>
            <w:shd w:val="clear" w:color="auto" w:fill="F5F5F5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  <w:hideMark/>
          </w:tcPr>
          <w:p w14:paraId="55C8707A" w14:textId="77777777" w:rsidR="007B15D2" w:rsidRPr="007B15D2" w:rsidRDefault="007B15D2" w:rsidP="007B15D2">
            <w:r w:rsidRPr="007B15D2">
              <w:t>Elevated — Monitor Closely</w:t>
            </w:r>
          </w:p>
        </w:tc>
        <w:tc>
          <w:tcPr>
            <w:tcW w:w="3040" w:type="dxa"/>
            <w:tcBorders>
              <w:top w:val="single" w:sz="2" w:space="0" w:color="CCCCCC"/>
              <w:left w:val="nil"/>
              <w:bottom w:val="single" w:sz="2" w:space="0" w:color="CCCCCC"/>
              <w:right w:val="single" w:sz="2" w:space="0" w:color="CCCCCC"/>
            </w:tcBorders>
            <w:shd w:val="clear" w:color="auto" w:fill="F5F5F5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  <w:hideMark/>
          </w:tcPr>
          <w:p w14:paraId="058FEC77" w14:textId="77777777" w:rsidR="007B15D2" w:rsidRPr="007B15D2" w:rsidRDefault="007B15D2" w:rsidP="007B15D2">
            <w:r w:rsidRPr="007B15D2">
              <w:t>1–2 Critical OR 3–5 High unresolved past SLA</w:t>
            </w:r>
          </w:p>
        </w:tc>
        <w:tc>
          <w:tcPr>
            <w:tcW w:w="3040" w:type="dxa"/>
            <w:tcBorders>
              <w:top w:val="single" w:sz="2" w:space="0" w:color="CCCCCC"/>
              <w:left w:val="nil"/>
              <w:bottom w:val="single" w:sz="2" w:space="0" w:color="CCCCCC"/>
              <w:right w:val="single" w:sz="2" w:space="0" w:color="CCCCCC"/>
            </w:tcBorders>
            <w:shd w:val="clear" w:color="auto" w:fill="F5F5F5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  <w:hideMark/>
          </w:tcPr>
          <w:p w14:paraId="7D6F332B" w14:textId="77777777" w:rsidR="007B15D2" w:rsidRPr="007B15D2" w:rsidRDefault="007B15D2" w:rsidP="007B15D2">
            <w:r w:rsidRPr="007B15D2">
              <w:t>Escalation required. Security team must present remediation plan within 5 business days.</w:t>
            </w:r>
          </w:p>
        </w:tc>
      </w:tr>
      <w:tr w:rsidR="007B15D2" w:rsidRPr="007B15D2" w14:paraId="1D21FD90" w14:textId="77777777">
        <w:tc>
          <w:tcPr>
            <w:tcW w:w="1200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val="clear" w:color="auto" w:fill="C0392B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  <w:hideMark/>
          </w:tcPr>
          <w:p w14:paraId="77995592" w14:textId="77777777" w:rsidR="007B15D2" w:rsidRPr="007B15D2" w:rsidRDefault="007B15D2" w:rsidP="007B15D2">
            <w:r w:rsidRPr="007B15D2">
              <w:rPr>
                <w:b/>
                <w:bCs/>
              </w:rPr>
              <w:t>RED</w:t>
            </w:r>
          </w:p>
        </w:tc>
        <w:tc>
          <w:tcPr>
            <w:tcW w:w="2080" w:type="dxa"/>
            <w:tcBorders>
              <w:top w:val="single" w:sz="2" w:space="0" w:color="CCCCCC"/>
              <w:left w:val="nil"/>
              <w:bottom w:val="single" w:sz="2" w:space="0" w:color="CCCCCC"/>
              <w:right w:val="single" w:sz="2" w:space="0" w:color="CCCCCC"/>
            </w:tcBorders>
            <w:shd w:val="clear" w:color="auto" w:fill="F5F5F5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  <w:hideMark/>
          </w:tcPr>
          <w:p w14:paraId="5074ABB0" w14:textId="77777777" w:rsidR="007B15D2" w:rsidRPr="007B15D2" w:rsidRDefault="007B15D2" w:rsidP="007B15D2">
            <w:proofErr w:type="gramStart"/>
            <w:r w:rsidRPr="007B15D2">
              <w:t>Breach —</w:t>
            </w:r>
            <w:proofErr w:type="gramEnd"/>
            <w:r w:rsidRPr="007B15D2">
              <w:t xml:space="preserve"> Immediate Action</w:t>
            </w:r>
          </w:p>
        </w:tc>
        <w:tc>
          <w:tcPr>
            <w:tcW w:w="3040" w:type="dxa"/>
            <w:tcBorders>
              <w:top w:val="single" w:sz="2" w:space="0" w:color="CCCCCC"/>
              <w:left w:val="nil"/>
              <w:bottom w:val="single" w:sz="2" w:space="0" w:color="CCCCCC"/>
              <w:right w:val="single" w:sz="2" w:space="0" w:color="CCCCCC"/>
            </w:tcBorders>
            <w:shd w:val="clear" w:color="auto" w:fill="F5F5F5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  <w:hideMark/>
          </w:tcPr>
          <w:p w14:paraId="26EB5D46" w14:textId="77777777" w:rsidR="007B15D2" w:rsidRPr="007B15D2" w:rsidRDefault="007B15D2" w:rsidP="007B15D2">
            <w:r w:rsidRPr="007B15D2">
              <w:t>≥3 Critical OR ≥6 High unresolved past SLA</w:t>
            </w:r>
          </w:p>
        </w:tc>
        <w:tc>
          <w:tcPr>
            <w:tcW w:w="3040" w:type="dxa"/>
            <w:tcBorders>
              <w:top w:val="single" w:sz="2" w:space="0" w:color="CCCCCC"/>
              <w:left w:val="nil"/>
              <w:bottom w:val="single" w:sz="2" w:space="0" w:color="CCCCCC"/>
              <w:right w:val="single" w:sz="2" w:space="0" w:color="CCCCCC"/>
            </w:tcBorders>
            <w:shd w:val="clear" w:color="auto" w:fill="F5F5F5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  <w:hideMark/>
          </w:tcPr>
          <w:p w14:paraId="2E661435" w14:textId="77777777" w:rsidR="007B15D2" w:rsidRPr="007B15D2" w:rsidRDefault="007B15D2" w:rsidP="007B15D2">
            <w:r w:rsidRPr="007B15D2">
              <w:t>Immediate escalation to senior management. Incident response activated. Executive notification within 24 hours.</w:t>
            </w:r>
          </w:p>
        </w:tc>
      </w:tr>
    </w:tbl>
    <w:p w14:paraId="10A8F7A0" w14:textId="3538FD38" w:rsidR="007B15D2" w:rsidRPr="007B15D2" w:rsidRDefault="007B15D2" w:rsidP="007B15D2">
      <w:r w:rsidRPr="007B15D2">
        <w:t xml:space="preserve"> </w:t>
      </w:r>
      <w:r w:rsidRPr="007B15D2">
        <w:rPr>
          <w:b/>
          <w:bCs/>
        </w:rPr>
        <w:t>6. Controls &amp; Mitigation Strategies</w:t>
      </w:r>
    </w:p>
    <w:p w14:paraId="05D0661F" w14:textId="66572F20" w:rsidR="007B15D2" w:rsidRPr="007B15D2" w:rsidRDefault="007B15D2" w:rsidP="007B15D2">
      <w:r w:rsidRPr="007B15D2">
        <w:t xml:space="preserve"> </w:t>
      </w:r>
      <w:r w:rsidRPr="007B15D2">
        <w:rPr>
          <w:b/>
          <w:bCs/>
        </w:rPr>
        <w:t>Preventive Controls</w:t>
      </w:r>
    </w:p>
    <w:p w14:paraId="26EA5D73" w14:textId="77777777" w:rsidR="007B15D2" w:rsidRPr="007B15D2" w:rsidRDefault="007B15D2" w:rsidP="007B15D2">
      <w:pPr>
        <w:numPr>
          <w:ilvl w:val="0"/>
          <w:numId w:val="3"/>
        </w:numPr>
      </w:pPr>
      <w:r w:rsidRPr="007B15D2">
        <w:lastRenderedPageBreak/>
        <w:t xml:space="preserve">Implement a formal vulnerability management </w:t>
      </w:r>
      <w:proofErr w:type="spellStart"/>
      <w:r w:rsidRPr="007B15D2">
        <w:t>programme</w:t>
      </w:r>
      <w:proofErr w:type="spellEnd"/>
      <w:r w:rsidRPr="007B15D2">
        <w:t xml:space="preserve"> with defined SLAs for remediation by severity (e.g. Critical: 24 </w:t>
      </w:r>
      <w:proofErr w:type="spellStart"/>
      <w:r w:rsidRPr="007B15D2">
        <w:t>hrs</w:t>
      </w:r>
      <w:proofErr w:type="spellEnd"/>
      <w:r w:rsidRPr="007B15D2">
        <w:t>, High: 7 days, Medium: 30 days).</w:t>
      </w:r>
    </w:p>
    <w:p w14:paraId="080FC25F" w14:textId="77777777" w:rsidR="007B15D2" w:rsidRPr="007B15D2" w:rsidRDefault="007B15D2" w:rsidP="007B15D2">
      <w:pPr>
        <w:numPr>
          <w:ilvl w:val="0"/>
          <w:numId w:val="3"/>
        </w:numPr>
      </w:pPr>
      <w:r w:rsidRPr="007B15D2">
        <w:t>Conduct regular penetration testing (minimum quarterly) and automated vulnerability scanning of all systems, including AI infrastructure.</w:t>
      </w:r>
    </w:p>
    <w:p w14:paraId="5FA075D3" w14:textId="77777777" w:rsidR="007B15D2" w:rsidRPr="007B15D2" w:rsidRDefault="007B15D2" w:rsidP="007B15D2">
      <w:pPr>
        <w:numPr>
          <w:ilvl w:val="0"/>
          <w:numId w:val="3"/>
        </w:numPr>
      </w:pPr>
      <w:r w:rsidRPr="007B15D2">
        <w:t>Enforce a data classification policy to ensure sensitive data is identified, access-controlled, and encrypted both in transit and at rest.</w:t>
      </w:r>
    </w:p>
    <w:p w14:paraId="29D50C26" w14:textId="77777777" w:rsidR="007B15D2" w:rsidRPr="007B15D2" w:rsidRDefault="007B15D2" w:rsidP="007B15D2">
      <w:pPr>
        <w:numPr>
          <w:ilvl w:val="0"/>
          <w:numId w:val="3"/>
        </w:numPr>
      </w:pPr>
      <w:r w:rsidRPr="007B15D2">
        <w:t>Apply multi-factor authentication (MFA) and least-privilege access controls across all systems and third-party integrations.</w:t>
      </w:r>
    </w:p>
    <w:p w14:paraId="47BD7594" w14:textId="39B7BA0A" w:rsidR="007B15D2" w:rsidRPr="007B15D2" w:rsidRDefault="007B15D2" w:rsidP="007B15D2">
      <w:r w:rsidRPr="007B15D2">
        <w:t xml:space="preserve"> </w:t>
      </w:r>
      <w:r w:rsidRPr="007B15D2">
        <w:rPr>
          <w:b/>
          <w:bCs/>
        </w:rPr>
        <w:t>Detective Controls</w:t>
      </w:r>
    </w:p>
    <w:p w14:paraId="4A548DB3" w14:textId="77777777" w:rsidR="007B15D2" w:rsidRPr="007B15D2" w:rsidRDefault="007B15D2" w:rsidP="007B15D2">
      <w:pPr>
        <w:numPr>
          <w:ilvl w:val="0"/>
          <w:numId w:val="3"/>
        </w:numPr>
      </w:pPr>
      <w:r w:rsidRPr="007B15D2">
        <w:t xml:space="preserve">Deploy a Security Information and Event Management (SIEM) system for real-time monitoring, anomaly detection, and </w:t>
      </w:r>
      <w:proofErr w:type="gramStart"/>
      <w:r w:rsidRPr="007B15D2">
        <w:t>alerting on</w:t>
      </w:r>
      <w:proofErr w:type="gramEnd"/>
      <w:r w:rsidRPr="007B15D2">
        <w:t xml:space="preserve"> suspicious activity.</w:t>
      </w:r>
    </w:p>
    <w:p w14:paraId="28CCEB30" w14:textId="77777777" w:rsidR="007B15D2" w:rsidRPr="007B15D2" w:rsidRDefault="007B15D2" w:rsidP="007B15D2">
      <w:pPr>
        <w:numPr>
          <w:ilvl w:val="0"/>
          <w:numId w:val="3"/>
        </w:numPr>
      </w:pPr>
      <w:r w:rsidRPr="007B15D2">
        <w:t xml:space="preserve">Maintain an up-to-date asset inventory and monitor all endpoints, cloud services, and AI systems for unusual </w:t>
      </w:r>
      <w:proofErr w:type="spellStart"/>
      <w:r w:rsidRPr="007B15D2">
        <w:t>behaviour</w:t>
      </w:r>
      <w:proofErr w:type="spellEnd"/>
      <w:r w:rsidRPr="007B15D2">
        <w:t>.</w:t>
      </w:r>
    </w:p>
    <w:p w14:paraId="58675E23" w14:textId="77777777" w:rsidR="007B15D2" w:rsidRPr="007B15D2" w:rsidRDefault="007B15D2" w:rsidP="007B15D2">
      <w:pPr>
        <w:numPr>
          <w:ilvl w:val="0"/>
          <w:numId w:val="3"/>
        </w:numPr>
      </w:pPr>
      <w:r w:rsidRPr="007B15D2">
        <w:t>Conduct monthly security posture reviews, tracking the selected KRI and reporting results to the Risk Committee.</w:t>
      </w:r>
    </w:p>
    <w:p w14:paraId="7DE76754" w14:textId="5868DC2F" w:rsidR="007B15D2" w:rsidRPr="007B15D2" w:rsidRDefault="007B15D2" w:rsidP="007B15D2">
      <w:r w:rsidRPr="007B15D2">
        <w:t xml:space="preserve"> </w:t>
      </w:r>
      <w:r w:rsidRPr="007B15D2">
        <w:rPr>
          <w:b/>
          <w:bCs/>
        </w:rPr>
        <w:t>Corrective Controls</w:t>
      </w:r>
    </w:p>
    <w:p w14:paraId="31740624" w14:textId="77777777" w:rsidR="007B15D2" w:rsidRPr="007B15D2" w:rsidRDefault="007B15D2" w:rsidP="007B15D2">
      <w:pPr>
        <w:numPr>
          <w:ilvl w:val="0"/>
          <w:numId w:val="3"/>
        </w:numPr>
      </w:pPr>
      <w:r w:rsidRPr="007B15D2">
        <w:t>Maintain and regularly test a documented Incident Response Plan (IRP), including escalation paths, communication protocols, and recovery procedures.</w:t>
      </w:r>
    </w:p>
    <w:p w14:paraId="4B1C5A09" w14:textId="77777777" w:rsidR="007B15D2" w:rsidRPr="007B15D2" w:rsidRDefault="007B15D2" w:rsidP="007B15D2">
      <w:pPr>
        <w:numPr>
          <w:ilvl w:val="0"/>
          <w:numId w:val="3"/>
        </w:numPr>
      </w:pPr>
      <w:r w:rsidRPr="007B15D2">
        <w:t>Ensure cyber liability insurance is in place and reviewed annually to cover breach-related costs, regulatory fines, and business interruption.</w:t>
      </w:r>
    </w:p>
    <w:p w14:paraId="19B6E5A3" w14:textId="77777777" w:rsidR="007B15D2" w:rsidRPr="007B15D2" w:rsidRDefault="007B15D2" w:rsidP="007B15D2">
      <w:pPr>
        <w:numPr>
          <w:ilvl w:val="0"/>
          <w:numId w:val="3"/>
        </w:numPr>
      </w:pPr>
      <w:r w:rsidRPr="007B15D2">
        <w:t>Establish a mandatory data breach notification process aligned with applicable regulatory timelines (e.g. 72-hour GDPR notification window).</w:t>
      </w:r>
    </w:p>
    <w:p w14:paraId="0D650119" w14:textId="49D3ED03" w:rsidR="007B15D2" w:rsidRPr="007B15D2" w:rsidRDefault="007B15D2" w:rsidP="007B15D2">
      <w:r w:rsidRPr="007B15D2">
        <w:t xml:space="preserve"> </w:t>
      </w:r>
      <w:r w:rsidRPr="007B15D2">
        <w:rPr>
          <w:b/>
          <w:bCs/>
        </w:rPr>
        <w:t>People &amp; Awareness Controls</w:t>
      </w:r>
    </w:p>
    <w:p w14:paraId="76E7C690" w14:textId="77777777" w:rsidR="007B15D2" w:rsidRPr="007B15D2" w:rsidRDefault="007B15D2" w:rsidP="007B15D2">
      <w:pPr>
        <w:numPr>
          <w:ilvl w:val="0"/>
          <w:numId w:val="3"/>
        </w:numPr>
      </w:pPr>
      <w:r w:rsidRPr="007B15D2">
        <w:t xml:space="preserve">Deliver mandatory cybersecurity awareness training for all </w:t>
      </w:r>
      <w:proofErr w:type="gramStart"/>
      <w:r w:rsidRPr="007B15D2">
        <w:t>staff at</w:t>
      </w:r>
      <w:proofErr w:type="gramEnd"/>
      <w:r w:rsidRPr="007B15D2">
        <w:t xml:space="preserve"> onboarding and annually thereafter, including phishing simulations.</w:t>
      </w:r>
    </w:p>
    <w:p w14:paraId="34B98224" w14:textId="77777777" w:rsidR="007B15D2" w:rsidRPr="007B15D2" w:rsidRDefault="007B15D2" w:rsidP="007B15D2">
      <w:pPr>
        <w:numPr>
          <w:ilvl w:val="0"/>
          <w:numId w:val="3"/>
        </w:numPr>
      </w:pPr>
      <w:r w:rsidRPr="007B15D2">
        <w:t>Designate a Data Protection Officer (DPO) or equivalent role responsible for overseeing data privacy compliance and regulatory engagement.</w:t>
      </w:r>
    </w:p>
    <w:p w14:paraId="4BC2746C" w14:textId="77777777" w:rsidR="007B15D2" w:rsidRPr="007B15D2" w:rsidRDefault="007B15D2" w:rsidP="007B15D2">
      <w:r w:rsidRPr="007B15D2">
        <w:t xml:space="preserve"> </w:t>
      </w:r>
    </w:p>
    <w:p w14:paraId="290EA167" w14:textId="02E8058B" w:rsidR="00C33F88" w:rsidRPr="00EB35FF" w:rsidRDefault="00C33F88" w:rsidP="00EB35FF"/>
    <w:sectPr w:rsidR="00C33F88" w:rsidRPr="00EB35FF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6585113"/>
    <w:multiLevelType w:val="multilevel"/>
    <w:tmpl w:val="2C8C3D3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3E213409"/>
    <w:multiLevelType w:val="multilevel"/>
    <w:tmpl w:val="F61ADEA4"/>
    <w:lvl w:ilvl="0">
      <w:start w:val="1"/>
      <w:numFmt w:val="bullet"/>
      <w:lvlText w:val="•"/>
      <w:lvlJc w:val="left"/>
      <w:pPr>
        <w:ind w:left="720" w:hanging="360"/>
      </w:pPr>
      <w:rPr>
        <w:rFonts w:ascii="Times New Roman" w:hAnsi="Times New Roman" w:cs="Times New Roman" w:hint="default"/>
      </w:r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 w15:restartNumberingAfterBreak="0">
    <w:nsid w:val="5DB07350"/>
    <w:multiLevelType w:val="multilevel"/>
    <w:tmpl w:val="0E2E57A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299921782">
    <w:abstractNumId w:val="2"/>
  </w:num>
  <w:num w:numId="2" w16cid:durableId="1879588469">
    <w:abstractNumId w:val="0"/>
  </w:num>
  <w:num w:numId="3" w16cid:durableId="2030983491">
    <w:abstractNumId w:val="1"/>
    <w:lvlOverride w:ilvl="0"/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2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33F88"/>
    <w:rsid w:val="00430837"/>
    <w:rsid w:val="007B15D2"/>
    <w:rsid w:val="007E7AF2"/>
    <w:rsid w:val="00C33F88"/>
    <w:rsid w:val="00EB35F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AA6AE10"/>
  <w15:chartTrackingRefBased/>
  <w15:docId w15:val="{39F891E2-70F7-41DD-AF33-600183D3602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C33F88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C33F88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C33F88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C33F88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C33F88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C33F88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C33F88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C33F88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C33F88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C33F88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C33F88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C33F88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C33F88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C33F88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C33F88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C33F88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C33F88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C33F88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C33F88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C33F88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C33F88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C33F88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C33F88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C33F88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C33F88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C33F88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C33F88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C33F88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C33F88"/>
    <w:rPr>
      <w:b/>
      <w:bCs/>
      <w:smallCaps/>
      <w:color w:val="0F4761" w:themeColor="accent1" w:themeShade="BF"/>
      <w:spacing w:val="5"/>
    </w:rPr>
  </w:style>
  <w:style w:type="character" w:styleId="Hyperlink">
    <w:name w:val="Hyperlink"/>
    <w:basedOn w:val="DefaultParagraphFont"/>
    <w:uiPriority w:val="99"/>
    <w:unhideWhenUsed/>
    <w:rsid w:val="007B15D2"/>
    <w:rPr>
      <w:color w:val="467886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7B15D2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2305</TotalTime>
  <Pages>4</Pages>
  <Words>796</Words>
  <Characters>4538</Characters>
  <Application>Microsoft Office Word</Application>
  <DocSecurity>0</DocSecurity>
  <Lines>37</Lines>
  <Paragraphs>10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5324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Victory Louis</dc:creator>
  <cp:keywords/>
  <dc:description/>
  <cp:lastModifiedBy>Victory Louis</cp:lastModifiedBy>
  <cp:revision>1</cp:revision>
  <dcterms:created xsi:type="dcterms:W3CDTF">2026-05-25T00:44:00Z</dcterms:created>
  <dcterms:modified xsi:type="dcterms:W3CDTF">2026-06-03T14:41:00Z</dcterms:modified>
</cp:coreProperties>
</file>