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A1AB" w14:textId="4BA97A24" w:rsidR="000625B5" w:rsidRDefault="000236E9">
      <w:r>
        <w:rPr>
          <w:rFonts w:hint="eastAsia"/>
        </w:rPr>
        <w:t>ALY6130 Discussion 4</w:t>
      </w:r>
    </w:p>
    <w:p w14:paraId="3418CE2E" w14:textId="77777777" w:rsidR="000236E9" w:rsidRDefault="000236E9"/>
    <w:p w14:paraId="3303DF6A" w14:textId="570A6177" w:rsidR="006D32E9" w:rsidRDefault="006D32E9" w:rsidP="006D32E9">
      <w:r>
        <w:t>Task 1</w:t>
      </w:r>
    </w:p>
    <w:p w14:paraId="021716E8" w14:textId="4449F416" w:rsidR="006D32E9" w:rsidRDefault="006D32E9" w:rsidP="006D32E9">
      <w:r>
        <w:t>Please read the following article and provide your thoughts on the following question.</w:t>
      </w:r>
    </w:p>
    <w:p w14:paraId="1FB2ADB0" w14:textId="6425D25F" w:rsidR="006D32E9" w:rsidRDefault="006D32E9" w:rsidP="006D32E9">
      <w:r>
        <w:t>Risk Appetite and Risk Tolerance: What's the Difference?</w:t>
      </w:r>
    </w:p>
    <w:p w14:paraId="24BE066A" w14:textId="77777777" w:rsidR="006D32E9" w:rsidRDefault="006D32E9" w:rsidP="006D32E9">
      <w:r>
        <w:t>What measures should you take to ensure you are assessing risks within a company’s risk appetite?</w:t>
      </w:r>
    </w:p>
    <w:p w14:paraId="2908E34E" w14:textId="77777777" w:rsidR="006D32E9" w:rsidRDefault="006D32E9" w:rsidP="006D32E9"/>
    <w:p w14:paraId="3A646008" w14:textId="1A04734F" w:rsidR="006D32E9" w:rsidRDefault="006D32E9" w:rsidP="006D32E9">
      <w:r>
        <w:t>Task Two</w:t>
      </w:r>
    </w:p>
    <w:p w14:paraId="37C4E447" w14:textId="77777777" w:rsidR="006D32E9" w:rsidRDefault="006D32E9" w:rsidP="006D32E9">
      <w:r>
        <w:t>This task is based on the class activity we had on the Triangulating Risk Profile and Risk Assessment: A Case Study</w:t>
      </w:r>
    </w:p>
    <w:p w14:paraId="48DDF939" w14:textId="17765BAD" w:rsidR="000236E9" w:rsidRDefault="006D32E9" w:rsidP="006D32E9">
      <w:r>
        <w:t xml:space="preserve">of Implementing Enterprise Risk Management System. Based on the discussion you had with your team, please post the results of the risk analysis here. After you post yours, pick on the answer posted by other groups (1 or two students other than your own group) on the same task and reflect on their response. </w:t>
      </w:r>
    </w:p>
    <w:p w14:paraId="561AA8E3" w14:textId="77777777" w:rsidR="00451AF4" w:rsidRDefault="00451AF4" w:rsidP="006D32E9"/>
    <w:p w14:paraId="10F4F0EB" w14:textId="77777777" w:rsidR="00451AF4" w:rsidRDefault="00451AF4" w:rsidP="006D32E9"/>
    <w:p w14:paraId="44689339" w14:textId="77777777" w:rsidR="001667CB" w:rsidRDefault="001667CB" w:rsidP="006D32E9"/>
    <w:p w14:paraId="365EABA9" w14:textId="77777777" w:rsidR="001667CB" w:rsidRDefault="001667CB" w:rsidP="006D32E9"/>
    <w:p w14:paraId="4CC52501" w14:textId="77777777" w:rsidR="001667CB" w:rsidRDefault="001667CB" w:rsidP="006D32E9"/>
    <w:p w14:paraId="48B542E9" w14:textId="77777777" w:rsidR="001667CB" w:rsidRDefault="001667CB" w:rsidP="006D32E9"/>
    <w:p w14:paraId="1F264DA5" w14:textId="77777777" w:rsidR="007C5259" w:rsidRPr="007C5259" w:rsidRDefault="007C5259" w:rsidP="007C5259">
      <w:pPr>
        <w:rPr>
          <w:b/>
          <w:bCs/>
        </w:rPr>
      </w:pPr>
      <w:r w:rsidRPr="007C5259">
        <w:rPr>
          <w:b/>
          <w:bCs/>
        </w:rPr>
        <w:t>Task 1</w:t>
      </w:r>
    </w:p>
    <w:p w14:paraId="3647779A" w14:textId="77777777" w:rsidR="007C5259" w:rsidRDefault="007C5259" w:rsidP="007C5259">
      <w:r>
        <w:t>After reading the article, I believe the first step in assessing risks within a company's risk appetite is to clearly understand the organization's strategic objectives and overall risk appetite statement. Risk appetite refers to the amount and type of risk an organization is willing to accept in pursuit of its business objectives, while risk tolerance represents the acceptable level of variation around specific risks.</w:t>
      </w:r>
    </w:p>
    <w:p w14:paraId="75E1DE40" w14:textId="77777777" w:rsidR="007C5259" w:rsidRDefault="007C5259" w:rsidP="007C5259">
      <w:r>
        <w:t xml:space="preserve">To ensure risks are assessed within a company's risk appetite, organizations should establish clear risk thresholds and performance metrics for different categories of risk. Risk assessments should be conducted regularly using likelihood and impact analysis and compared against predefined tolerance levels. In addition, management should continuously monitor Key Risk Indicators (KRIs) to identify early warning signs when risk exposure is approaching unacceptable levels. Effective communication between management and stakeholders is also important to ensure that risk-taking </w:t>
      </w:r>
      <w:r>
        <w:lastRenderedPageBreak/>
        <w:t>decisions remain aligned with organizational goals.</w:t>
      </w:r>
    </w:p>
    <w:p w14:paraId="3BBB76C1" w14:textId="77777777" w:rsidR="007C5259" w:rsidRDefault="007C5259" w:rsidP="007C5259">
      <w:r>
        <w:t>In my opinion, understanding both risk appetite and risk tolerance helps organizations balance opportunities and threats while making informed business decisions. This approach supports strategic growth while preventing the organization from taking risks that exceed its acceptable limits.</w:t>
      </w:r>
    </w:p>
    <w:p w14:paraId="21C796C4" w14:textId="77777777" w:rsidR="007C5259" w:rsidRDefault="007C5259" w:rsidP="007C5259"/>
    <w:p w14:paraId="00EFB014" w14:textId="77777777" w:rsidR="007C5259" w:rsidRPr="007C5259" w:rsidRDefault="007C5259" w:rsidP="007C5259">
      <w:pPr>
        <w:rPr>
          <w:b/>
          <w:bCs/>
        </w:rPr>
      </w:pPr>
      <w:r w:rsidRPr="007C5259">
        <w:rPr>
          <w:b/>
          <w:bCs/>
        </w:rPr>
        <w:t>Task 2</w:t>
      </w:r>
    </w:p>
    <w:p w14:paraId="06429EB3" w14:textId="77777777" w:rsidR="007C5259" w:rsidRDefault="007C5259" w:rsidP="007C5259">
      <w:r>
        <w:t>Risk Analysis Results: Amazon AI-Powered Customer Service Expansion</w:t>
      </w:r>
    </w:p>
    <w:p w14:paraId="51344F74" w14:textId="77777777" w:rsidR="007C5259" w:rsidRDefault="007C5259" w:rsidP="007C5259">
      <w:r>
        <w:t>Based on our team discussion, we analyzed the risks associated with Amazon's AI-powered customer service expansion strategy. The objective of the project is to expand Amazon's customer service capabilities through AI technologies such as AWS, Amazon Connect, and chatbot solutions while improving operational efficiency and customer experience.</w:t>
      </w:r>
    </w:p>
    <w:p w14:paraId="455D2D73" w14:textId="77777777" w:rsidR="007C5259" w:rsidRPr="007C5259" w:rsidRDefault="007C5259" w:rsidP="007C5259">
      <w:pPr>
        <w:rPr>
          <w:b/>
          <w:bCs/>
        </w:rPr>
      </w:pPr>
      <w:r w:rsidRPr="007C5259">
        <w:rPr>
          <w:b/>
          <w:bCs/>
        </w:rPr>
        <w:t>Qualitative Risk Analysis</w:t>
      </w:r>
    </w:p>
    <w:p w14:paraId="3CF3B334" w14:textId="77777777" w:rsidR="007C5259" w:rsidRDefault="007C5259" w:rsidP="007C5259">
      <w:r>
        <w:t>Using a probability-impact matrix, our team identified three key risks.</w:t>
      </w:r>
    </w:p>
    <w:p w14:paraId="5598D571" w14:textId="77777777" w:rsidR="007C5259" w:rsidRDefault="007C5259" w:rsidP="007C5259">
      <w:r>
        <w:t>The highest-priority risk is Cybersecurity and Data Privacy Risk. This risk received a likelihood score of 8 and an impact score of 9, resulting in an overall risk score of 72. AI-powered customer service platforms process large amounts of customer information, including account details, transaction records, and conversation history. A security breach could lead to financial losses, regulatory penalties, and reputational damage.</w:t>
      </w:r>
    </w:p>
    <w:p w14:paraId="56135FF2" w14:textId="77777777" w:rsidR="007C5259" w:rsidRDefault="007C5259" w:rsidP="007C5259">
      <w:r>
        <w:t>The second-highest risk is Technology Reliability and AI Integration Risk, which received a likelihood score of 7 and an impact score of 8, resulting in a risk score of 56. Amazon has been testing neural-network-based customer service chatbots that automate customer interactions and improve service efficiency. Although the technology has demonstrated strong performance, failures in system integration, AI response accuracy, or service availability could negatively affect customer satisfaction and business operations.</w:t>
      </w:r>
    </w:p>
    <w:p w14:paraId="0DACEF7D" w14:textId="77777777" w:rsidR="007C5259" w:rsidRDefault="007C5259" w:rsidP="007C5259">
      <w:r>
        <w:t>The third risk is AI-Driven Market Expansion Opportunity, which represents a positive risk. This opportunity received a likelihood score of 6 and an impact score of 7, resulting in a score of 42. The increasing adoption of AI technologies creates opportunities for Amazon to expand its AI-powered customer service solutions and strengthen its position in the market. Research suggests that cloud-based AI and machine learning platforms continue to experience significant market growth, supporting future expansion opportunities.</w:t>
      </w:r>
    </w:p>
    <w:p w14:paraId="5D364FF5" w14:textId="77777777" w:rsidR="007C5259" w:rsidRPr="007C5259" w:rsidRDefault="007C5259" w:rsidP="007C5259">
      <w:pPr>
        <w:rPr>
          <w:b/>
          <w:bCs/>
        </w:rPr>
      </w:pPr>
      <w:r w:rsidRPr="007C5259">
        <w:rPr>
          <w:b/>
          <w:bCs/>
        </w:rPr>
        <w:t>Quantitative Risk Analysis</w:t>
      </w:r>
    </w:p>
    <w:p w14:paraId="14F21430" w14:textId="77777777" w:rsidR="007C5259" w:rsidRDefault="007C5259" w:rsidP="007C5259">
      <w:r>
        <w:t xml:space="preserve">To further prioritize risks, our team applied Expected Monetary Value (EMV) </w:t>
      </w:r>
      <w:r>
        <w:lastRenderedPageBreak/>
        <w:t>analysis, where:</w:t>
      </w:r>
    </w:p>
    <w:p w14:paraId="7FE8BEB5" w14:textId="77777777" w:rsidR="007C5259" w:rsidRPr="007C5259" w:rsidRDefault="007C5259" w:rsidP="007C5259">
      <w:pPr>
        <w:rPr>
          <w:b/>
          <w:bCs/>
        </w:rPr>
      </w:pPr>
      <w:r w:rsidRPr="007C5259">
        <w:rPr>
          <w:b/>
          <w:bCs/>
        </w:rPr>
        <w:t>EMV = Probability × Financial Impact.</w:t>
      </w:r>
    </w:p>
    <w:tbl>
      <w:tblPr>
        <w:tblStyle w:val="PlainTable1"/>
        <w:tblW w:w="0" w:type="auto"/>
        <w:tblLook w:val="04A0" w:firstRow="1" w:lastRow="0" w:firstColumn="1" w:lastColumn="0" w:noHBand="0" w:noVBand="1"/>
      </w:tblPr>
      <w:tblGrid>
        <w:gridCol w:w="2549"/>
        <w:gridCol w:w="1377"/>
        <w:gridCol w:w="3074"/>
        <w:gridCol w:w="1296"/>
      </w:tblGrid>
      <w:tr w:rsidR="007C5259" w:rsidRPr="007C5259" w14:paraId="6CC4EEE7" w14:textId="77777777" w:rsidTr="007C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13837" w14:textId="77777777" w:rsidR="007C5259" w:rsidRPr="007C5259" w:rsidRDefault="007C5259" w:rsidP="007C5259">
            <w:pPr>
              <w:widowControl/>
              <w:jc w:val="center"/>
              <w:rPr>
                <w:rFonts w:eastAsia="Times New Roman" w:cs="Times New Roman"/>
                <w14:ligatures w14:val="none"/>
              </w:rPr>
            </w:pPr>
            <w:r w:rsidRPr="007C5259">
              <w:rPr>
                <w:rFonts w:eastAsia="Times New Roman" w:cs="Times New Roman"/>
                <w14:ligatures w14:val="none"/>
              </w:rPr>
              <w:t>Risk</w:t>
            </w:r>
          </w:p>
        </w:tc>
        <w:tc>
          <w:tcPr>
            <w:tcW w:w="0" w:type="auto"/>
            <w:hideMark/>
          </w:tcPr>
          <w:p w14:paraId="74C67164" w14:textId="77777777" w:rsidR="007C5259" w:rsidRPr="007C5259" w:rsidRDefault="007C5259" w:rsidP="007C525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Probability</w:t>
            </w:r>
          </w:p>
        </w:tc>
        <w:tc>
          <w:tcPr>
            <w:tcW w:w="3074" w:type="dxa"/>
            <w:hideMark/>
          </w:tcPr>
          <w:p w14:paraId="7BF8FA3E" w14:textId="77777777" w:rsidR="007C5259" w:rsidRPr="007C5259" w:rsidRDefault="007C5259" w:rsidP="007C525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Estimated Financial Impact</w:t>
            </w:r>
          </w:p>
        </w:tc>
        <w:tc>
          <w:tcPr>
            <w:tcW w:w="1296" w:type="dxa"/>
            <w:hideMark/>
          </w:tcPr>
          <w:p w14:paraId="19A5128A" w14:textId="77777777" w:rsidR="007C5259" w:rsidRPr="007C5259" w:rsidRDefault="007C5259" w:rsidP="007C5259">
            <w:pPr>
              <w:widowControl/>
              <w:jc w:val="center"/>
              <w:cnfStyle w:val="100000000000" w:firstRow="1" w:lastRow="0" w:firstColumn="0" w:lastColumn="0" w:oddVBand="0" w:evenVBand="0" w:oddHBand="0"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EMV</w:t>
            </w:r>
          </w:p>
        </w:tc>
      </w:tr>
      <w:tr w:rsidR="007C5259" w:rsidRPr="007C5259" w14:paraId="64E4C4B7" w14:textId="77777777" w:rsidTr="007C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E0BA7" w14:textId="77777777" w:rsidR="007C5259" w:rsidRPr="007C5259" w:rsidRDefault="007C5259" w:rsidP="007C5259">
            <w:pPr>
              <w:widowControl/>
              <w:rPr>
                <w:rFonts w:eastAsia="Times New Roman" w:cs="Times New Roman"/>
                <w14:ligatures w14:val="none"/>
              </w:rPr>
            </w:pPr>
            <w:r w:rsidRPr="007C5259">
              <w:rPr>
                <w:rFonts w:eastAsia="Times New Roman" w:cs="Times New Roman"/>
                <w14:ligatures w14:val="none"/>
              </w:rPr>
              <w:t>Cybersecurity &amp; Data Privacy Risk</w:t>
            </w:r>
          </w:p>
        </w:tc>
        <w:tc>
          <w:tcPr>
            <w:tcW w:w="0" w:type="auto"/>
            <w:hideMark/>
          </w:tcPr>
          <w:p w14:paraId="67E1E9B2" w14:textId="77777777" w:rsidR="007C5259" w:rsidRPr="007C5259" w:rsidRDefault="007C5259" w:rsidP="007C52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20%</w:t>
            </w:r>
          </w:p>
        </w:tc>
        <w:tc>
          <w:tcPr>
            <w:tcW w:w="3074" w:type="dxa"/>
            <w:hideMark/>
          </w:tcPr>
          <w:p w14:paraId="60CF3E4F" w14:textId="77777777" w:rsidR="007C5259" w:rsidRPr="007C5259" w:rsidRDefault="007C5259" w:rsidP="007C52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$10,000,000</w:t>
            </w:r>
          </w:p>
        </w:tc>
        <w:tc>
          <w:tcPr>
            <w:tcW w:w="1296" w:type="dxa"/>
            <w:hideMark/>
          </w:tcPr>
          <w:p w14:paraId="09964514" w14:textId="77777777" w:rsidR="007C5259" w:rsidRPr="007C5259" w:rsidRDefault="007C5259" w:rsidP="007C52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$2,000,000</w:t>
            </w:r>
          </w:p>
        </w:tc>
      </w:tr>
      <w:tr w:rsidR="007C5259" w:rsidRPr="007C5259" w14:paraId="3B3A19B0" w14:textId="77777777" w:rsidTr="007C5259">
        <w:tc>
          <w:tcPr>
            <w:cnfStyle w:val="001000000000" w:firstRow="0" w:lastRow="0" w:firstColumn="1" w:lastColumn="0" w:oddVBand="0" w:evenVBand="0" w:oddHBand="0" w:evenHBand="0" w:firstRowFirstColumn="0" w:firstRowLastColumn="0" w:lastRowFirstColumn="0" w:lastRowLastColumn="0"/>
            <w:tcW w:w="0" w:type="auto"/>
            <w:hideMark/>
          </w:tcPr>
          <w:p w14:paraId="375B8004" w14:textId="77777777" w:rsidR="007C5259" w:rsidRPr="007C5259" w:rsidRDefault="007C5259" w:rsidP="007C5259">
            <w:pPr>
              <w:widowControl/>
              <w:rPr>
                <w:rFonts w:eastAsia="Times New Roman" w:cs="Times New Roman"/>
                <w14:ligatures w14:val="none"/>
              </w:rPr>
            </w:pPr>
            <w:r w:rsidRPr="007C5259">
              <w:rPr>
                <w:rFonts w:eastAsia="Times New Roman" w:cs="Times New Roman"/>
                <w14:ligatures w14:val="none"/>
              </w:rPr>
              <w:t>Technology Reliability &amp; AI Integration Risk</w:t>
            </w:r>
          </w:p>
        </w:tc>
        <w:tc>
          <w:tcPr>
            <w:tcW w:w="0" w:type="auto"/>
            <w:hideMark/>
          </w:tcPr>
          <w:p w14:paraId="4C4AE3A2" w14:textId="77777777" w:rsidR="007C5259" w:rsidRPr="007C5259" w:rsidRDefault="007C5259" w:rsidP="007C525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30%</w:t>
            </w:r>
          </w:p>
        </w:tc>
        <w:tc>
          <w:tcPr>
            <w:tcW w:w="3074" w:type="dxa"/>
            <w:hideMark/>
          </w:tcPr>
          <w:p w14:paraId="700B90F2" w14:textId="77777777" w:rsidR="007C5259" w:rsidRPr="007C5259" w:rsidRDefault="007C5259" w:rsidP="007C525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$5,000,000</w:t>
            </w:r>
          </w:p>
        </w:tc>
        <w:tc>
          <w:tcPr>
            <w:tcW w:w="1296" w:type="dxa"/>
            <w:hideMark/>
          </w:tcPr>
          <w:p w14:paraId="06C47E9E" w14:textId="77777777" w:rsidR="007C5259" w:rsidRPr="007C5259" w:rsidRDefault="007C5259" w:rsidP="007C5259">
            <w:pPr>
              <w:widowControl/>
              <w:cnfStyle w:val="000000000000" w:firstRow="0" w:lastRow="0" w:firstColumn="0" w:lastColumn="0" w:oddVBand="0" w:evenVBand="0" w:oddHBand="0"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$1,500,000</w:t>
            </w:r>
          </w:p>
        </w:tc>
      </w:tr>
      <w:tr w:rsidR="007C5259" w:rsidRPr="007C5259" w14:paraId="6CB072D8" w14:textId="77777777" w:rsidTr="007C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847CF" w14:textId="77777777" w:rsidR="007C5259" w:rsidRPr="007C5259" w:rsidRDefault="007C5259" w:rsidP="007C5259">
            <w:pPr>
              <w:widowControl/>
              <w:rPr>
                <w:rFonts w:eastAsia="Times New Roman" w:cs="Times New Roman"/>
                <w14:ligatures w14:val="none"/>
              </w:rPr>
            </w:pPr>
            <w:r w:rsidRPr="007C5259">
              <w:rPr>
                <w:rFonts w:eastAsia="Times New Roman" w:cs="Times New Roman"/>
                <w14:ligatures w14:val="none"/>
              </w:rPr>
              <w:t>AI Market Expansion Opportunity</w:t>
            </w:r>
          </w:p>
        </w:tc>
        <w:tc>
          <w:tcPr>
            <w:tcW w:w="0" w:type="auto"/>
            <w:hideMark/>
          </w:tcPr>
          <w:p w14:paraId="55E7A5FE" w14:textId="77777777" w:rsidR="007C5259" w:rsidRPr="007C5259" w:rsidRDefault="007C5259" w:rsidP="007C52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40%</w:t>
            </w:r>
          </w:p>
        </w:tc>
        <w:tc>
          <w:tcPr>
            <w:tcW w:w="3074" w:type="dxa"/>
            <w:hideMark/>
          </w:tcPr>
          <w:p w14:paraId="32D7DA4A" w14:textId="77777777" w:rsidR="007C5259" w:rsidRPr="007C5259" w:rsidRDefault="007C5259" w:rsidP="007C52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$15,000,000</w:t>
            </w:r>
          </w:p>
        </w:tc>
        <w:tc>
          <w:tcPr>
            <w:tcW w:w="1296" w:type="dxa"/>
            <w:hideMark/>
          </w:tcPr>
          <w:p w14:paraId="1DDE1AA2" w14:textId="77777777" w:rsidR="007C5259" w:rsidRPr="007C5259" w:rsidRDefault="007C5259" w:rsidP="007C5259">
            <w:pPr>
              <w:widowControl/>
              <w:cnfStyle w:val="000000100000" w:firstRow="0" w:lastRow="0" w:firstColumn="0" w:lastColumn="0" w:oddVBand="0" w:evenVBand="0" w:oddHBand="1" w:evenHBand="0" w:firstRowFirstColumn="0" w:firstRowLastColumn="0" w:lastRowFirstColumn="0" w:lastRowLastColumn="0"/>
              <w:rPr>
                <w:rFonts w:eastAsia="Times New Roman" w:cs="Times New Roman"/>
                <w14:ligatures w14:val="none"/>
              </w:rPr>
            </w:pPr>
            <w:r w:rsidRPr="007C5259">
              <w:rPr>
                <w:rFonts w:eastAsia="Times New Roman" w:cs="Times New Roman"/>
                <w14:ligatures w14:val="none"/>
              </w:rPr>
              <w:t>$6,000,000</w:t>
            </w:r>
          </w:p>
        </w:tc>
      </w:tr>
    </w:tbl>
    <w:p w14:paraId="1FE865C2" w14:textId="0FB6D1F0" w:rsidR="007C5259" w:rsidRDefault="007C5259" w:rsidP="007C5259">
      <w:r>
        <w:t>The estimates were developed based on the scale of Amazon's AI-powered customer service operations and are intended to support comparative risk analysis rather than provide exact financial forecasts.</w:t>
      </w:r>
    </w:p>
    <w:p w14:paraId="2B8113D3" w14:textId="77777777" w:rsidR="007C5259" w:rsidRPr="007C5259" w:rsidRDefault="007C5259" w:rsidP="007C5259">
      <w:pPr>
        <w:rPr>
          <w:b/>
          <w:bCs/>
        </w:rPr>
      </w:pPr>
      <w:r w:rsidRPr="007C5259">
        <w:rPr>
          <w:b/>
          <w:bCs/>
        </w:rPr>
        <w:t>Conclusion</w:t>
      </w:r>
    </w:p>
    <w:p w14:paraId="4C5379B4" w14:textId="34A9F41E" w:rsidR="00451AF4" w:rsidRDefault="007C5259" w:rsidP="007C5259">
      <w:r>
        <w:t>Our team concluded that Cybersecurity and Data Privacy Risk should receive the highest management attention because of its potential impact on customer trust, regulatory compliance, and business reputation. Technology Reliability and AI Integration Risk should also be closely monitored to ensure system stability and service quality. At the same time, Amazon should continue investing in AI-powered customer service innovation because the potential benefits from market expansion and increased operational efficiency are significant. Continuous monitoring of KRIs and periodic reassessment of risk levels will help ensure that Amazon's AI strategy remains aligned with its business objectives and risk appetite.</w:t>
      </w:r>
    </w:p>
    <w:p w14:paraId="21A7FA83" w14:textId="44422DCF" w:rsidR="00F427BA" w:rsidRPr="00F427BA" w:rsidRDefault="00F427BA" w:rsidP="007C5259">
      <w:pPr>
        <w:rPr>
          <w:b/>
          <w:bCs/>
        </w:rPr>
      </w:pPr>
      <w:r w:rsidRPr="00F427BA">
        <w:rPr>
          <w:rFonts w:hint="eastAsia"/>
          <w:b/>
          <w:bCs/>
        </w:rPr>
        <w:t>Reference</w:t>
      </w:r>
    </w:p>
    <w:p w14:paraId="1DD79E66" w14:textId="77777777" w:rsidR="00F427BA" w:rsidRDefault="00F427BA" w:rsidP="00F427BA">
      <w:r>
        <w:t>Amazon Science. (2020, February 25). Amazon.com tests customer service chatbots. Amazon Science. https://www.amazon.science/blog/amazon-com-tests-customer-service-chatbots</w:t>
      </w:r>
    </w:p>
    <w:p w14:paraId="040D0063" w14:textId="21450826" w:rsidR="00F427BA" w:rsidRDefault="00F427BA" w:rsidP="00F427BA">
      <w:r>
        <w:t xml:space="preserve">Esmaeili, M., Ahmadi, M., Ismaeil, M. D., Mirzaei, S., &amp; </w:t>
      </w:r>
      <w:proofErr w:type="spellStart"/>
      <w:r>
        <w:t>Verdial</w:t>
      </w:r>
      <w:proofErr w:type="spellEnd"/>
      <w:r>
        <w:t>, J. C. (2024). Advancements in AI-driven customer service. Proceedings of the 2024 IEEE World AI IoT Congress (</w:t>
      </w:r>
      <w:proofErr w:type="spellStart"/>
      <w:r>
        <w:t>AIIoT</w:t>
      </w:r>
      <w:proofErr w:type="spellEnd"/>
      <w:r>
        <w:t>). IEEE.</w:t>
      </w:r>
    </w:p>
    <w:p w14:paraId="7C3CD35B" w14:textId="0ABAF859" w:rsidR="00F427BA" w:rsidRDefault="00F427BA" w:rsidP="00F427BA">
      <w:r w:rsidRPr="00F427BA">
        <w:t>Hillson, D. (n.d.). Risk appetite and risk tolerance: What's the difference? Project Risk Coach. Retrieved June 16, 2026</w:t>
      </w:r>
    </w:p>
    <w:p w14:paraId="68A98FDC" w14:textId="77777777" w:rsidR="00F427BA" w:rsidRDefault="00F427BA" w:rsidP="00F427BA">
      <w:r>
        <w:t>Liu, B. (2022). Artificial intelligence and machine learning capabilities and application programming interfaces at Amazon, Google, and Microsoft (Master’s thesis, Massachusetts Institute of Technology Sloan School of Management). Massachusetts Institute of Technology. https://dspace.mit.edu/</w:t>
      </w:r>
    </w:p>
    <w:p w14:paraId="62A17F9D" w14:textId="77777777" w:rsidR="00F427BA" w:rsidRDefault="00F427BA" w:rsidP="00F427BA"/>
    <w:sectPr w:rsidR="00F427BA" w:rsidSect="00F60DCF">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6E9"/>
    <w:rsid w:val="000236E9"/>
    <w:rsid w:val="000625B5"/>
    <w:rsid w:val="000D7912"/>
    <w:rsid w:val="001667CB"/>
    <w:rsid w:val="00372DBE"/>
    <w:rsid w:val="003B4993"/>
    <w:rsid w:val="00451AF4"/>
    <w:rsid w:val="004730A4"/>
    <w:rsid w:val="004F3295"/>
    <w:rsid w:val="005B4D99"/>
    <w:rsid w:val="006A2657"/>
    <w:rsid w:val="006D32E9"/>
    <w:rsid w:val="007C5259"/>
    <w:rsid w:val="00814F5F"/>
    <w:rsid w:val="00A8428D"/>
    <w:rsid w:val="00B34EB4"/>
    <w:rsid w:val="00F427BA"/>
    <w:rsid w:val="00F55CF0"/>
    <w:rsid w:val="00F60D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892AF"/>
  <w15:chartTrackingRefBased/>
  <w15:docId w15:val="{D57493B8-B3C1-49F2-B1ED-380DEC04C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autoRedefine/>
    <w:uiPriority w:val="9"/>
    <w:qFormat/>
    <w:rsid w:val="003B4993"/>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B4993"/>
    <w:pPr>
      <w:keepNext/>
      <w:keepLines/>
      <w:spacing w:before="160" w:after="8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semiHidden/>
    <w:unhideWhenUsed/>
    <w:qFormat/>
    <w:rsid w:val="006A26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0236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36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236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36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36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36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9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9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6A2657"/>
    <w:rPr>
      <w:rFonts w:eastAsiaTheme="majorEastAsia" w:cstheme="majorBidi"/>
      <w:i/>
      <w:szCs w:val="28"/>
    </w:rPr>
  </w:style>
  <w:style w:type="character" w:customStyle="1" w:styleId="Heading4Char">
    <w:name w:val="Heading 4 Char"/>
    <w:basedOn w:val="DefaultParagraphFont"/>
    <w:link w:val="Heading4"/>
    <w:uiPriority w:val="9"/>
    <w:semiHidden/>
    <w:rsid w:val="000236E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236E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236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36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36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36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3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6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6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36E9"/>
    <w:pPr>
      <w:spacing w:before="160"/>
      <w:jc w:val="center"/>
    </w:pPr>
    <w:rPr>
      <w:i/>
      <w:iCs/>
      <w:color w:val="404040" w:themeColor="text1" w:themeTint="BF"/>
    </w:rPr>
  </w:style>
  <w:style w:type="character" w:customStyle="1" w:styleId="QuoteChar">
    <w:name w:val="Quote Char"/>
    <w:basedOn w:val="DefaultParagraphFont"/>
    <w:link w:val="Quote"/>
    <w:uiPriority w:val="29"/>
    <w:rsid w:val="000236E9"/>
    <w:rPr>
      <w:i/>
      <w:iCs/>
      <w:color w:val="404040" w:themeColor="text1" w:themeTint="BF"/>
    </w:rPr>
  </w:style>
  <w:style w:type="paragraph" w:styleId="ListParagraph">
    <w:name w:val="List Paragraph"/>
    <w:basedOn w:val="Normal"/>
    <w:uiPriority w:val="34"/>
    <w:qFormat/>
    <w:rsid w:val="000236E9"/>
    <w:pPr>
      <w:ind w:left="720"/>
      <w:contextualSpacing/>
    </w:pPr>
  </w:style>
  <w:style w:type="character" w:styleId="IntenseEmphasis">
    <w:name w:val="Intense Emphasis"/>
    <w:basedOn w:val="DefaultParagraphFont"/>
    <w:uiPriority w:val="21"/>
    <w:qFormat/>
    <w:rsid w:val="000236E9"/>
    <w:rPr>
      <w:i/>
      <w:iCs/>
      <w:color w:val="2F5496" w:themeColor="accent1" w:themeShade="BF"/>
    </w:rPr>
  </w:style>
  <w:style w:type="paragraph" w:styleId="IntenseQuote">
    <w:name w:val="Intense Quote"/>
    <w:basedOn w:val="Normal"/>
    <w:next w:val="Normal"/>
    <w:link w:val="IntenseQuoteChar"/>
    <w:uiPriority w:val="30"/>
    <w:qFormat/>
    <w:rsid w:val="00023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6E9"/>
    <w:rPr>
      <w:i/>
      <w:iCs/>
      <w:color w:val="2F5496" w:themeColor="accent1" w:themeShade="BF"/>
    </w:rPr>
  </w:style>
  <w:style w:type="character" w:styleId="IntenseReference">
    <w:name w:val="Intense Reference"/>
    <w:basedOn w:val="DefaultParagraphFont"/>
    <w:uiPriority w:val="32"/>
    <w:qFormat/>
    <w:rsid w:val="000236E9"/>
    <w:rPr>
      <w:b/>
      <w:bCs/>
      <w:smallCaps/>
      <w:color w:val="2F5496" w:themeColor="accent1" w:themeShade="BF"/>
      <w:spacing w:val="5"/>
    </w:rPr>
  </w:style>
  <w:style w:type="table" w:styleId="PlainTable1">
    <w:name w:val="Plain Table 1"/>
    <w:basedOn w:val="TableNormal"/>
    <w:uiPriority w:val="41"/>
    <w:rsid w:val="007C52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3</Pages>
  <Words>1047</Words>
  <Characters>5132</Characters>
  <Application>Microsoft Office Word</Application>
  <DocSecurity>0</DocSecurity>
  <Lines>135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Chenlu Liu</dc:creator>
  <cp:keywords/>
  <dc:description/>
  <cp:lastModifiedBy>Chenlu Liu</cp:lastModifiedBy>
  <cp:revision>4</cp:revision>
  <dcterms:created xsi:type="dcterms:W3CDTF">2026-06-12T21:08:00Z</dcterms:created>
  <dcterms:modified xsi:type="dcterms:W3CDTF">2026-06-16T19:10:00Z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0455d830-0b77-4739-ad76-efab8fa48bc1</vt:lpwstr>
  </property>
</Properties>
</file>