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D2A3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sz w:val="20"/>
          <w:szCs w:val="20"/>
        </w:rPr>
        <w:t>：</w:t>
      </w:r>
      <w:r>
        <w:rPr>
          <w:rFonts w:hint="default" w:ascii="Times New Roman" w:hAnsi="Times New Roman" w:cs="Times New Roman" w:eastAsiaTheme="minorEastAsia"/>
          <w:b/>
          <w:bCs/>
          <w:color w:val="000000"/>
          <w:sz w:val="20"/>
          <w:szCs w:val="20"/>
        </w:rPr>
        <w:t>Interpret mathematical outcomes in a variety of formats in relation to a situation or use; compare or evaluate two or more representations in relation to a situation</w:t>
      </w:r>
    </w:p>
    <w:p w14:paraId="4BFAEB2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高度相关：题目要求学生从折线图中读取“The Metallofikies”在四月份的销量数据，并转化为具体数值。这正是“将数学结果以不同形式（如图表）与实际情境（销量）相联系”的典型表现。</w:t>
      </w:r>
    </w:p>
    <w:p w14:paraId="358F702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具体体现：学生需从图表中提取信息，并将其转化为选择题中的具体选项。</w:t>
      </w:r>
    </w:p>
    <w:p w14:paraId="1B01256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color w:val="000000"/>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 xml:space="preserve">5: </w:t>
      </w:r>
      <w:r>
        <w:rPr>
          <w:rFonts w:hint="default" w:ascii="Times New Roman" w:hAnsi="Times New Roman" w:cs="Times New Roman" w:eastAsiaTheme="minorEastAsia"/>
          <w:b/>
          <w:bCs/>
          <w:color w:val="000000"/>
          <w:sz w:val="20"/>
          <w:szCs w:val="20"/>
        </w:rPr>
        <w:t>Interpret mathematical outcomes in a variety of formats in relation to a situation or use; compare or evaluate two or more representations in relation to a situation</w:t>
      </w:r>
    </w:p>
    <w:p w14:paraId="63D0FD0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Highly Relevant: The question requires students to read the sales data for "The Metallofikies" in April from a line graph and convert it into a specific numerical value. This is a classic example of "relating mathematical results in various formats (such as charts) to a real-world context (sales)."</w:t>
      </w:r>
    </w:p>
    <w:p w14:paraId="2E15841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Concrete Manifestation: Students must extract information from the graph and translate it into the specific options provided in the multiple-choice question.</w:t>
      </w:r>
    </w:p>
    <w:p w14:paraId="5C3028A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#2</w:t>
      </w:r>
      <w:r>
        <w:rPr>
          <w:rFonts w:hint="default" w:ascii="Times New Roman" w:hAnsi="Times New Roman" w:cs="Times New Roman" w:eastAsiaTheme="minorEastAsia"/>
          <w:b/>
          <w:bCs/>
          <w:sz w:val="20"/>
          <w:szCs w:val="20"/>
        </w:rPr>
        <w:t>：</w:t>
      </w:r>
      <w:r>
        <w:rPr>
          <w:rFonts w:hint="default" w:ascii="Times New Roman" w:hAnsi="Times New Roman" w:cs="Times New Roman" w:eastAsiaTheme="minorEastAsia"/>
          <w:b/>
          <w:bCs/>
          <w:color w:val="000000"/>
          <w:sz w:val="20"/>
          <w:szCs w:val="20"/>
        </w:rPr>
        <w:t>Identify whether a mathematical result or conclusion does, or does not, make sense given the context of a problem</w:t>
      </w:r>
    </w:p>
    <w:p w14:paraId="7A5767C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相关：虽然本题主要是读取数据，但学生仍需判断所读数据是否合理（如是否超出纵轴范围、是否符合趋势等），避免因误读图表而选错。</w:t>
      </w:r>
    </w:p>
    <w:p w14:paraId="1F81A01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具体体现：例如，学生需确认“四月”对应的点是否在纵轴500处，而不是被其他线条干扰。</w:t>
      </w:r>
    </w:p>
    <w:p w14:paraId="3DF5298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 xml:space="preserve">2: </w:t>
      </w:r>
      <w:r>
        <w:rPr>
          <w:rFonts w:hint="default" w:ascii="Times New Roman" w:hAnsi="Times New Roman" w:cs="Times New Roman" w:eastAsiaTheme="minorEastAsia"/>
          <w:b/>
          <w:bCs/>
          <w:color w:val="000000"/>
          <w:sz w:val="20"/>
          <w:szCs w:val="20"/>
        </w:rPr>
        <w:t>Identify whether a mathematical result or conclusion does, or does not, make sense given the context of a problem</w:t>
      </w:r>
    </w:p>
    <w:p w14:paraId="2BCDD9A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Relevant: Although the question primarily involves reading data, students still need to judge whether the read data is reasonable (e.g., whether it falls within the y-axis range, aligns with the trend, etc.) to avoid selecting the wrong answer due to misreading the graph.</w:t>
      </w:r>
    </w:p>
    <w:p w14:paraId="3C70A37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Concrete Manifestation: For example, students must confirm whether the point corresponding to "April" is at 500 on the y-axis and is not being confused by other lines.</w:t>
      </w:r>
    </w:p>
    <w:p w14:paraId="011E4D8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w:t>
      </w:r>
      <w:r>
        <w:rPr>
          <w:rFonts w:hint="default" w:ascii="Times New Roman" w:hAnsi="Times New Roman" w:cs="Times New Roman" w:eastAsiaTheme="minorEastAsia"/>
          <w:b/>
          <w:bCs/>
          <w:color w:val="000000"/>
          <w:sz w:val="20"/>
          <w:szCs w:val="20"/>
        </w:rPr>
        <w:t>Interpret a mathematical result back into the real world context</w:t>
      </w:r>
    </w:p>
    <w:p w14:paraId="7E23DF2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高度相关：学生从图中读出一个数字（如500），必须理解这个数字意味着“The Metalfolkies在2026年4月卖出了500张CD”。</w:t>
      </w:r>
    </w:p>
    <w:p w14:paraId="0B4C4DA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虽然本题未要求进一步推理，但答案本身就是一个“数学结果→现实意义”的映射。</w:t>
      </w:r>
    </w:p>
    <w:p w14:paraId="6B66F05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#1: Interpret a mathematical result back into the real-world context</w:t>
      </w:r>
    </w:p>
    <w:p w14:paraId="222E99C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Highly relevant: After reading a number from the chart (e.g., 500), students must understand that this means “The Metalfolkies sold 500 CDs in April.”</w:t>
      </w:r>
    </w:p>
    <w:p w14:paraId="1837F0D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Although no further reasoning is required, the answer itself embodies the mapping from a mathematical output to its real-world meaning.</w:t>
      </w:r>
    </w:p>
    <w:p w14:paraId="63CE301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color w:val="000000"/>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28B4C69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体现方式：</w:t>
      </w:r>
    </w:p>
    <w:p w14:paraId="7F7788B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学生必须理解：</w:t>
      </w:r>
    </w:p>
    <w:p w14:paraId="421AE0F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图中每一组柱子代表一个月份</w:t>
      </w:r>
    </w:p>
    <w:p w14:paraId="4A6653D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不同颜色/填充代表不同乐队</w:t>
      </w:r>
    </w:p>
    <w:p w14:paraId="0FF637E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纵轴代表“CD 销量（number of CDs sold）”</w:t>
      </w:r>
    </w:p>
    <w:p w14:paraId="3DB9487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“April + The Metalfolkies”这一现实语境信息⟶ 映射到统计图中的具体一根柱子</w:t>
      </w:r>
    </w:p>
    <w:p w14:paraId="6A21981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这是本题的核心能力要求</w:t>
      </w:r>
    </w:p>
    <w:p w14:paraId="31AC661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sz w:val="20"/>
          <w:szCs w:val="20"/>
        </w:rPr>
        <w:t>Understand the relationship between the context of the problem and the representation of the mathematical solution. Use this understanding to help interpret the solution in context and gauge the feasibility and possible limitations of the solution</w:t>
      </w:r>
      <w:r>
        <w:rPr>
          <w:rFonts w:hint="default" w:ascii="Times New Roman" w:hAnsi="Times New Roman" w:cs="Times New Roman" w:eastAsiaTheme="minorEastAsia"/>
          <w:b/>
          <w:bCs/>
          <w:sz w:val="20"/>
          <w:szCs w:val="20"/>
          <w:lang w:val="en-US" w:eastAsia="zh-CN"/>
        </w:rPr>
        <w:t>:</w:t>
      </w:r>
    </w:p>
    <w:p w14:paraId="1F890B7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How it is reflected:</w:t>
      </w:r>
    </w:p>
    <w:p w14:paraId="051EDF5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understand that:</w:t>
      </w:r>
      <w:bookmarkStart w:id="0" w:name="_GoBack"/>
      <w:bookmarkEnd w:id="0"/>
    </w:p>
    <w:p w14:paraId="1A4C02E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Each group of bars represents one month</w:t>
      </w:r>
    </w:p>
    <w:p w14:paraId="56CB1FD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Different colours/shadings represent different bands</w:t>
      </w:r>
    </w:p>
    <w:p w14:paraId="174A016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vertical axis represents the number of CDs sold</w:t>
      </w:r>
    </w:p>
    <w:p w14:paraId="0B51395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contextual information “April” and “The Metalfolkies” must be correctly mapped to the appropriate bar on the graph.</w:t>
      </w:r>
    </w:p>
    <w:p w14:paraId="39D5AB0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is the core competency assessed by the question.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4802EC"/>
    <w:rsid w:val="7EBE5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2026-01-21T01:41:56Z</dcterms:created>
  <dc:creator>JZ-MC</dc:creator>
  <cp:lastModifiedBy>陈觅科</cp:lastModifiedBy>
  <dcterms:modified xsi:type="dcterms:W3CDTF">2026-01-21T02:07:22Z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eyJoZGlkIjoiZjJhNWY1ZmU1YzliNjVjYTk1YzAzZmI0MWI1MjFjMTIiLCJ1c2VySWQiOiIxNjgzMDA5MTM4In0=</vt:lpwstr>
  </property>
  <property fmtid="{D5CDD505-2E9C-101B-9397-08002B2CF9AE}" pid="4" name="ICV">
    <vt:lpwstr>46E29B691A934053BCA90B18F6CB585B_12</vt:lpwstr>
  </property>
</Properties>
</file>