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37"/>
        </w:rPr>
      </w:pPr>
      <w:r>
        <w:rPr>
          <w:rFonts w:ascii="华文仿宋" w:hAnsi="华文仿宋" w:eastAsia="华文仿宋"/>
          <w:b/>
          <w:sz w:val="37"/>
        </w:rPr>
        <w:drawing>
          <wp:inline distT="0" distB="0" distL="0" distR="0">
            <wp:extent cx="3484880" cy="6311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880" cy="6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b/>
          <w:sz w:val="37"/>
        </w:rPr>
      </w:pPr>
    </w:p>
    <w:p>
      <w:pPr>
        <w:pStyle w:val="5"/>
        <w:spacing w:before="468" w:beforeLines="150"/>
        <w:ind w:left="0"/>
        <w:jc w:val="both"/>
        <w:rPr>
          <w:rFonts w:ascii="黑体" w:hAnsi="黑体" w:eastAsia="黑体"/>
          <w:b/>
          <w:sz w:val="52"/>
          <w:szCs w:val="52"/>
          <w:lang w:eastAsia="zh-CN"/>
        </w:rPr>
      </w:pPr>
      <w:bookmarkStart w:id="0" w:name="_Toc289521298"/>
      <w:bookmarkStart w:id="1" w:name="_Toc16817"/>
      <w:bookmarkStart w:id="2" w:name="_Toc24593"/>
      <w:r>
        <w:rPr>
          <w:rFonts w:hint="eastAsia" w:ascii="黑体" w:hAnsi="黑体" w:eastAsia="黑体"/>
          <w:b/>
          <w:sz w:val="52"/>
          <w:szCs w:val="52"/>
          <w:lang w:eastAsia="zh-CN"/>
        </w:rPr>
        <w:t>首届“匠心杯”大学生创新创业大赛</w:t>
      </w:r>
    </w:p>
    <w:p>
      <w:pPr>
        <w:pStyle w:val="5"/>
        <w:spacing w:before="468" w:beforeLines="150"/>
        <w:ind w:left="1797" w:firstLine="1044" w:firstLineChars="200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商业计划书</w:t>
      </w:r>
      <w:bookmarkEnd w:id="0"/>
      <w:bookmarkEnd w:id="1"/>
      <w:bookmarkEnd w:id="2"/>
    </w:p>
    <w:p>
      <w:pPr>
        <w:rPr>
          <w:rFonts w:ascii="华文仿宋" w:hAnsi="华文仿宋" w:eastAsia="华文仿宋"/>
          <w:b/>
          <w:sz w:val="37"/>
        </w:rPr>
      </w:pPr>
    </w:p>
    <w:p>
      <w:pPr>
        <w:rPr>
          <w:rFonts w:ascii="华文仿宋" w:hAnsi="华文仿宋" w:eastAsia="华文仿宋"/>
          <w:b/>
          <w:sz w:val="37"/>
        </w:rPr>
      </w:pPr>
    </w:p>
    <w:p>
      <w:pPr>
        <w:spacing w:line="620" w:lineRule="exact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项目名称：</w:t>
      </w:r>
    </w:p>
    <w:p>
      <w:pPr>
        <w:spacing w:line="360" w:lineRule="auto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项目主题：□汽车产业青年创新创业</w:t>
      </w:r>
      <w:r>
        <w:rPr>
          <w:rFonts w:ascii="华文仿宋" w:hAnsi="华文仿宋" w:eastAsia="华文仿宋"/>
          <w:b/>
          <w:sz w:val="37"/>
        </w:rPr>
        <w:t xml:space="preserve"> 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  <w:lang w:eastAsia="zh-CN"/>
        </w:rPr>
        <w:t>□</w:t>
      </w:r>
      <w:r>
        <w:rPr>
          <w:rFonts w:hint="eastAsia" w:ascii="华文仿宋" w:hAnsi="华文仿宋" w:eastAsia="华文仿宋"/>
          <w:b/>
          <w:sz w:val="37"/>
        </w:rPr>
        <w:t xml:space="preserve">螺蛳粉产业青年创新创业 </w:t>
      </w:r>
      <w:r>
        <w:rPr>
          <w:rFonts w:hint="eastAsia" w:ascii="华文仿宋" w:hAnsi="华文仿宋" w:eastAsia="华文仿宋"/>
          <w:b/>
          <w:sz w:val="37"/>
        </w:rPr>
        <w:sym w:font="Wingdings 2" w:char="0052"/>
      </w:r>
      <w:r>
        <w:rPr>
          <w:rFonts w:hint="eastAsia" w:ascii="华文仿宋" w:hAnsi="华文仿宋" w:eastAsia="华文仿宋"/>
          <w:b/>
          <w:sz w:val="37"/>
        </w:rPr>
        <w:t>其他主题青年创新创业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参赛赛道：</w:t>
      </w:r>
      <w:r>
        <w:rPr>
          <w:rFonts w:hint="eastAsia"/>
          <w:b/>
          <w:bCs/>
          <w:sz w:val="40"/>
          <w:szCs w:val="44"/>
        </w:rPr>
        <w:sym w:font="Wingdings 2" w:char="0052"/>
      </w:r>
      <w:r>
        <w:rPr>
          <w:rFonts w:hint="eastAsia" w:ascii="华文仿宋" w:hAnsi="华文仿宋" w:eastAsia="华文仿宋"/>
          <w:b/>
          <w:bCs/>
          <w:sz w:val="37"/>
        </w:rPr>
        <w:t>创意创新赛道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/>
          <w:b/>
          <w:bCs/>
          <w:sz w:val="40"/>
          <w:szCs w:val="44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青年创业赛道</w:t>
      </w:r>
      <w:r>
        <w:rPr>
          <w:rFonts w:hint="eastAsia"/>
          <w:b/>
          <w:bCs/>
          <w:sz w:val="40"/>
          <w:szCs w:val="44"/>
        </w:rPr>
        <w:sym w:font="Wingdings 2" w:char="00A3"/>
      </w:r>
      <w:r>
        <w:rPr>
          <w:rFonts w:hint="eastAsia" w:ascii="华文仿宋" w:hAnsi="华文仿宋" w:eastAsia="华文仿宋"/>
          <w:b/>
          <w:bCs/>
          <w:sz w:val="37"/>
        </w:rPr>
        <w:t>社会公益赛道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参赛组别：</w:t>
      </w:r>
      <w:r>
        <w:rPr>
          <w:rFonts w:hint="eastAsia"/>
          <w:b/>
          <w:bCs/>
          <w:sz w:val="40"/>
          <w:szCs w:val="44"/>
        </w:rPr>
        <w:sym w:font="Wingdings 2" w:char="0052"/>
      </w:r>
      <w:r>
        <w:rPr>
          <w:rFonts w:hint="eastAsia" w:ascii="华文仿宋" w:hAnsi="华文仿宋" w:eastAsia="华文仿宋"/>
          <w:b/>
          <w:bCs/>
          <w:sz w:val="37"/>
        </w:rPr>
        <w:t xml:space="preserve">创意组 </w:t>
      </w:r>
      <w:r>
        <w:rPr>
          <w:rFonts w:ascii="华文仿宋" w:hAnsi="华文仿宋" w:eastAsia="华文仿宋"/>
          <w:b/>
          <w:bCs/>
          <w:sz w:val="37"/>
        </w:rPr>
        <w:t xml:space="preserve"> </w:t>
      </w:r>
      <w:r>
        <w:rPr>
          <w:rFonts w:hint="eastAsia" w:ascii="华文仿宋" w:hAnsi="华文仿宋" w:eastAsia="华文仿宋"/>
          <w:b/>
          <w:bCs/>
          <w:sz w:val="37"/>
        </w:rPr>
        <w:sym w:font="Wingdings 2" w:char="00A3"/>
      </w:r>
      <w:r>
        <w:rPr>
          <w:rFonts w:hint="eastAsia" w:ascii="华文仿宋" w:hAnsi="华文仿宋" w:eastAsia="华文仿宋"/>
          <w:b/>
          <w:bCs/>
          <w:sz w:val="37"/>
        </w:rPr>
        <w:t>初创组  □成长组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□实践组  □商业组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项目负责人：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周昌真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联系信息：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17877840106</w:t>
      </w:r>
    </w:p>
    <w:p>
      <w:pPr>
        <w:jc w:val="left"/>
        <w:rPr>
          <w:rFonts w:ascii="华文仿宋" w:hAnsi="华文仿宋" w:eastAsia="华文仿宋"/>
          <w:sz w:val="37"/>
        </w:rPr>
      </w:pP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柳州职业技术学院</w:t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2</w:t>
      </w:r>
      <w:r>
        <w:rPr>
          <w:rFonts w:ascii="黑体" w:hAnsi="黑体" w:eastAsia="黑体"/>
          <w:b/>
          <w:sz w:val="32"/>
        </w:rPr>
        <w:t>021</w:t>
      </w:r>
      <w:r>
        <w:rPr>
          <w:rFonts w:hint="eastAsia" w:ascii="黑体" w:hAnsi="黑体" w:eastAsia="黑体"/>
          <w:b/>
          <w:sz w:val="32"/>
        </w:rPr>
        <w:t>年</w:t>
      </w:r>
      <w:r>
        <w:rPr>
          <w:rFonts w:ascii="黑体" w:hAnsi="黑体" w:eastAsia="黑体"/>
          <w:b/>
          <w:sz w:val="32"/>
        </w:rPr>
        <w:t>1</w:t>
      </w:r>
      <w:r>
        <w:rPr>
          <w:rFonts w:hint="eastAsia" w:ascii="黑体" w:hAnsi="黑体" w:eastAsia="黑体"/>
          <w:b/>
          <w:sz w:val="32"/>
        </w:rPr>
        <w:t>月</w:t>
      </w:r>
    </w:p>
    <w:p>
      <w:pPr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（本填写说明页在商业计划书完成后删除）</w:t>
      </w: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  <w:r>
        <w:rPr>
          <w:rFonts w:hint="eastAsia" w:ascii="仿宋_GB2312" w:eastAsia="仿宋_GB2312"/>
          <w:sz w:val="36"/>
        </w:rPr>
        <w:t>填写说明</w:t>
      </w:r>
    </w:p>
    <w:p>
      <w:pPr>
        <w:jc w:val="center"/>
      </w:pP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1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凡申报“互联网+”大学生创新创业大赛必须填写本计划书。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/>
          <w:bCs/>
          <w:sz w:val="24"/>
        </w:rPr>
        <w:t>2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本计划书应该填写完整、内容详实、表达准确，数字一律填写阿拉伯数字。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3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打印格式与装订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1</w:t>
      </w:r>
      <w:r>
        <w:rPr>
          <w:rFonts w:hint="eastAsia" w:ascii="仿宋" w:hAnsi="仿宋" w:eastAsia="仿宋"/>
          <w:bCs/>
          <w:sz w:val="24"/>
        </w:rPr>
        <w:t>）作品一律采用A4（210mm×297mm）幅面，左侧装订。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2</w:t>
      </w:r>
      <w:r>
        <w:rPr>
          <w:rFonts w:hint="eastAsia" w:ascii="仿宋" w:hAnsi="仿宋" w:eastAsia="仿宋"/>
          <w:bCs/>
          <w:sz w:val="24"/>
        </w:rPr>
        <w:t>）正文格式。正文选用模板中的样式所定义的“正文”，每段落首行缩进 2字；或者手动设置成每段落首行缩进 2 字，正文的字体为宋体，字号为小四号，字符间距为标准，行距为 20 磅。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3</w:t>
      </w:r>
      <w:r>
        <w:rPr>
          <w:rFonts w:hint="eastAsia" w:ascii="仿宋" w:hAnsi="仿宋" w:eastAsia="仿宋"/>
          <w:bCs/>
          <w:sz w:val="24"/>
        </w:rPr>
        <w:t>）章节标题格式。章节标题采用以下符号标识，即一、（一）1．（1）标识。第一，第一级标题字体为宋体，居左，字号：小三，1.5 倍行距，段后 11 磅，段前为 0。每章另起一页。章序号为阿拉伯数字。在输入章标题之后，按回车键，即可直接输入每章正文。第二， 第二级标题字体为宋体，居左，字号：四号，1.5 倍行距，段后为 0，段前0.5 行。第三， 第三级及以下标题字体为宋体，居左，字号：小四，1.5 倍行距，段后为 0，段前 0.5 行。</w:t>
      </w:r>
      <w:r>
        <w:rPr>
          <w:rFonts w:ascii="仿宋_GB2312" w:hAnsi="宋体" w:eastAsia="仿宋_GB2312"/>
          <w:bCs/>
          <w:color w:val="FF0000"/>
          <w:sz w:val="24"/>
        </w:rPr>
        <w:br w:type="page"/>
      </w:r>
    </w:p>
    <w:p>
      <w:pPr>
        <w:widowControl/>
        <w:jc w:val="left"/>
        <w:rPr>
          <w:rFonts w:ascii="仿宋_GB2312" w:hAnsi="宋体" w:eastAsia="仿宋_GB2312"/>
          <w:bCs/>
          <w:color w:val="FF0000"/>
          <w:sz w:val="24"/>
        </w:rPr>
      </w:pPr>
    </w:p>
    <w:p>
      <w:pPr>
        <w:widowControl/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（此页为目录页，目录已设为自动更新模式）</w:t>
      </w:r>
    </w:p>
    <w:sdt>
      <w:sdtPr>
        <w:rPr>
          <w:lang w:val="zh-CN"/>
        </w:rPr>
        <w:id w:val="-1063481763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/>
              <w:b/>
              <w:sz w:val="28"/>
            </w:rPr>
            <w:t>目</w:t>
          </w:r>
          <w:r>
            <w:rPr>
              <w:rFonts w:hint="eastAsia" w:ascii="宋体" w:hAnsi="宋体"/>
              <w:b/>
              <w:sz w:val="28"/>
            </w:rPr>
            <w:t xml:space="preserve"> </w:t>
          </w:r>
          <w:r>
            <w:rPr>
              <w:rFonts w:ascii="宋体" w:hAnsi="宋体"/>
              <w:b/>
              <w:sz w:val="28"/>
            </w:rPr>
            <w:t xml:space="preserve"> 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一、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4"/>
              <w:rFonts w:ascii="宋体" w:hAnsi="宋体"/>
            </w:rPr>
            <w:t>项目摘要</w:t>
          </w:r>
          <w:r>
            <w:tab/>
          </w:r>
          <w:r>
            <w:fldChar w:fldCharType="begin"/>
          </w:r>
          <w:r>
            <w:instrText xml:space="preserve"> PAGEREF _Toc43288553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（一）项目简介</w:t>
          </w:r>
          <w:r>
            <w:tab/>
          </w:r>
          <w:r>
            <w:fldChar w:fldCharType="begin"/>
          </w:r>
          <w:r>
            <w:instrText xml:space="preserve"> PAGEREF _Toc43288554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（二）产品和服务</w:t>
          </w:r>
          <w:r>
            <w:tab/>
          </w:r>
          <w:r>
            <w:fldChar w:fldCharType="begin"/>
          </w:r>
          <w:r>
            <w:instrText xml:space="preserve"> PAGEREF _Toc43288555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（三）商业模式</w:t>
          </w:r>
          <w:r>
            <w:tab/>
          </w:r>
          <w:r>
            <w:fldChar w:fldCharType="begin"/>
          </w:r>
          <w:r>
            <w:instrText xml:space="preserve"> PAGEREF _Toc43288556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（四）核心优势</w:t>
          </w:r>
          <w:r>
            <w:tab/>
          </w:r>
          <w:r>
            <w:fldChar w:fldCharType="begin"/>
          </w:r>
          <w:r>
            <w:instrText xml:space="preserve"> PAGEREF _Toc43288557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（五）市场分析</w:t>
          </w:r>
          <w:r>
            <w:tab/>
          </w:r>
          <w:r>
            <w:fldChar w:fldCharType="begin"/>
          </w:r>
          <w:r>
            <w:instrText xml:space="preserve"> PAGEREF _Toc43288558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（六）财务分析</w:t>
          </w:r>
          <w:r>
            <w:tab/>
          </w:r>
          <w:r>
            <w:fldChar w:fldCharType="begin"/>
          </w:r>
          <w:r>
            <w:instrText xml:space="preserve"> PAGEREF _Toc43288559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（七）管理团队</w:t>
          </w:r>
          <w:r>
            <w:tab/>
          </w:r>
          <w:r>
            <w:fldChar w:fldCharType="begin"/>
          </w:r>
          <w:r>
            <w:instrText xml:space="preserve"> PAGEREF _Toc43288560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（八）带动就业创业情况</w:t>
          </w:r>
          <w:r>
            <w:tab/>
          </w:r>
          <w:r>
            <w:fldChar w:fldCharType="begin"/>
          </w:r>
          <w:r>
            <w:instrText xml:space="preserve"> PAGEREF _Toc43288561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（九）相关报道</w:t>
          </w:r>
          <w:r>
            <w:tab/>
          </w:r>
          <w:r>
            <w:fldChar w:fldCharType="begin"/>
          </w:r>
          <w:r>
            <w:instrText xml:space="preserve"> PAGEREF _Toc43288562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二、产品介绍</w:t>
          </w:r>
          <w:r>
            <w:tab/>
          </w:r>
          <w:r>
            <w:fldChar w:fldCharType="begin"/>
          </w:r>
          <w:r>
            <w:instrText xml:space="preserve"> PAGEREF _Toc43288563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（一）产品概述</w:t>
          </w:r>
          <w:r>
            <w:tab/>
          </w:r>
          <w:r>
            <w:fldChar w:fldCharType="begin"/>
          </w:r>
          <w:r>
            <w:instrText xml:space="preserve"> PAGEREF _Toc43288564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（二）主营产品与服务</w:t>
          </w:r>
          <w:r>
            <w:tab/>
          </w:r>
          <w:r>
            <w:fldChar w:fldCharType="begin"/>
          </w:r>
          <w:r>
            <w:instrText xml:space="preserve"> PAGEREF _Toc43288565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（三）竞品分析</w:t>
          </w:r>
          <w:r>
            <w:tab/>
          </w:r>
          <w:r>
            <w:fldChar w:fldCharType="begin"/>
          </w:r>
          <w:r>
            <w:instrText xml:space="preserve"> PAGEREF _Toc43288566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（四）核心竞争力</w:t>
          </w:r>
          <w:r>
            <w:tab/>
          </w:r>
          <w:r>
            <w:fldChar w:fldCharType="begin"/>
          </w:r>
          <w:r>
            <w:instrText xml:space="preserve"> PAGEREF _Toc43288567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（五）优势保持</w:t>
          </w:r>
          <w:r>
            <w:tab/>
          </w:r>
          <w:r>
            <w:fldChar w:fldCharType="begin"/>
          </w:r>
          <w:r>
            <w:instrText xml:space="preserve"> PAGEREF _Toc43288568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三、市场分析</w:t>
          </w:r>
          <w:r>
            <w:tab/>
          </w:r>
          <w:r>
            <w:fldChar w:fldCharType="begin"/>
          </w:r>
          <w:r>
            <w:instrText xml:space="preserve"> PAGEREF _Toc43288569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（一）市场背景</w:t>
          </w:r>
          <w:r>
            <w:tab/>
          </w:r>
          <w:r>
            <w:fldChar w:fldCharType="begin"/>
          </w:r>
          <w:r>
            <w:instrText xml:space="preserve"> PAGEREF _Toc43288570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（二）市场现状与规模</w:t>
          </w:r>
          <w:r>
            <w:tab/>
          </w:r>
          <w:r>
            <w:fldChar w:fldCharType="begin"/>
          </w:r>
          <w:r>
            <w:instrText xml:space="preserve"> PAGEREF _Toc43288571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（三）市场前景与趋势</w:t>
          </w:r>
          <w:r>
            <w:tab/>
          </w:r>
          <w:r>
            <w:fldChar w:fldCharType="begin"/>
          </w:r>
          <w:r>
            <w:instrText xml:space="preserve"> PAGEREF _Toc43288572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四、商业模式</w:t>
          </w:r>
          <w:r>
            <w:tab/>
          </w:r>
          <w:r>
            <w:fldChar w:fldCharType="begin"/>
          </w:r>
          <w:r>
            <w:instrText xml:space="preserve"> PAGEREF _Toc43288573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（一）经营模式</w:t>
          </w:r>
          <w:r>
            <w:tab/>
          </w:r>
          <w:r>
            <w:fldChar w:fldCharType="begin"/>
          </w:r>
          <w:r>
            <w:instrText xml:space="preserve"> PAGEREF _Toc43288574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（二）关键资源能力</w:t>
          </w:r>
          <w:r>
            <w:tab/>
          </w:r>
          <w:r>
            <w:fldChar w:fldCharType="begin"/>
          </w:r>
          <w:r>
            <w:instrText xml:space="preserve"> PAGEREF _Toc43288575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（三）业务系统</w:t>
          </w:r>
          <w:r>
            <w:tab/>
          </w:r>
          <w:r>
            <w:fldChar w:fldCharType="begin"/>
          </w:r>
          <w:r>
            <w:instrText xml:space="preserve"> PAGEREF _Toc43288576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（四）盈利模式</w:t>
          </w:r>
          <w:r>
            <w:tab/>
          </w:r>
          <w:r>
            <w:fldChar w:fldCharType="begin"/>
          </w:r>
          <w:r>
            <w:instrText xml:space="preserve"> PAGEREF _Toc43288577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五、销售策略</w:t>
          </w:r>
          <w:r>
            <w:tab/>
          </w:r>
          <w:r>
            <w:fldChar w:fldCharType="begin"/>
          </w:r>
          <w:r>
            <w:instrText xml:space="preserve"> PAGEREF _Toc43288578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（一）目标市场</w:t>
          </w:r>
          <w:r>
            <w:tab/>
          </w:r>
          <w:r>
            <w:fldChar w:fldCharType="begin"/>
          </w:r>
          <w:r>
            <w:instrText xml:space="preserve"> PAGEREF _Toc43288579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（二）定价策略</w:t>
          </w:r>
          <w:r>
            <w:tab/>
          </w:r>
          <w:r>
            <w:fldChar w:fldCharType="begin"/>
          </w:r>
          <w:r>
            <w:instrText xml:space="preserve"> PAGEREF _Toc43288580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（三）渠道策略</w:t>
          </w:r>
          <w:r>
            <w:tab/>
          </w:r>
          <w:r>
            <w:fldChar w:fldCharType="begin"/>
          </w:r>
          <w:r>
            <w:instrText xml:space="preserve"> PAGEREF _Toc43288581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（四）推广策略</w:t>
          </w:r>
          <w:r>
            <w:tab/>
          </w:r>
          <w:r>
            <w:fldChar w:fldCharType="begin"/>
          </w:r>
          <w:r>
            <w:instrText xml:space="preserve"> PAGEREF _Toc43288582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（五）市场开发与进入策略</w:t>
          </w:r>
          <w:r>
            <w:tab/>
          </w:r>
          <w:r>
            <w:fldChar w:fldCharType="begin"/>
          </w:r>
          <w:r>
            <w:instrText xml:space="preserve"> PAGEREF _Toc43288583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六、管理体系</w:t>
          </w:r>
          <w:r>
            <w:tab/>
          </w:r>
          <w:r>
            <w:fldChar w:fldCharType="begin"/>
          </w:r>
          <w:r>
            <w:instrText xml:space="preserve"> PAGEREF _Toc43288584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（一）组织架构</w:t>
          </w:r>
          <w:r>
            <w:tab/>
          </w:r>
          <w:r>
            <w:fldChar w:fldCharType="begin"/>
          </w:r>
          <w:r>
            <w:instrText xml:space="preserve"> PAGEREF _Toc43288585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（二）主要管理人员</w:t>
          </w:r>
          <w:r>
            <w:tab/>
          </w:r>
          <w:r>
            <w:fldChar w:fldCharType="begin"/>
          </w:r>
          <w:r>
            <w:instrText xml:space="preserve"> PAGEREF _Toc43288586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（三）团队其他成员</w:t>
          </w:r>
          <w:r>
            <w:tab/>
          </w:r>
          <w:r>
            <w:fldChar w:fldCharType="begin"/>
          </w:r>
          <w:r>
            <w:instrText xml:space="preserve"> PAGEREF _Toc43288587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（四）管理制度</w:t>
          </w:r>
          <w:r>
            <w:tab/>
          </w:r>
          <w:r>
            <w:fldChar w:fldCharType="begin"/>
          </w:r>
          <w:r>
            <w:instrText xml:space="preserve"> PAGEREF _Toc43288588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七、财务分析</w:t>
          </w:r>
          <w:r>
            <w:tab/>
          </w:r>
          <w:r>
            <w:fldChar w:fldCharType="begin"/>
          </w:r>
          <w:r>
            <w:instrText xml:space="preserve"> PAGEREF _Toc43288589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（一）股权结构</w:t>
          </w:r>
          <w:r>
            <w:tab/>
          </w:r>
          <w:r>
            <w:fldChar w:fldCharType="begin"/>
          </w:r>
          <w:r>
            <w:instrText xml:space="preserve"> PAGEREF _Toc43288590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（二）资产负债表</w:t>
          </w:r>
          <w:r>
            <w:tab/>
          </w:r>
          <w:r>
            <w:fldChar w:fldCharType="begin"/>
          </w:r>
          <w:r>
            <w:instrText xml:space="preserve"> PAGEREF _Toc43288591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（三）现金流量表</w:t>
          </w:r>
          <w:r>
            <w:tab/>
          </w:r>
          <w:r>
            <w:fldChar w:fldCharType="begin"/>
          </w:r>
          <w:r>
            <w:instrText xml:space="preserve"> PAGEREF _Toc43288592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（四）利润表</w:t>
          </w:r>
          <w:r>
            <w:tab/>
          </w:r>
          <w:r>
            <w:fldChar w:fldCharType="begin"/>
          </w:r>
          <w:r>
            <w:instrText xml:space="preserve"> PAGEREF _Toc43288593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八、融资方案</w:t>
          </w:r>
          <w:r>
            <w:tab/>
          </w:r>
          <w:r>
            <w:fldChar w:fldCharType="begin"/>
          </w:r>
          <w:r>
            <w:instrText xml:space="preserve"> PAGEREF _Toc43288594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（一）资金需求计划</w:t>
          </w:r>
          <w:r>
            <w:tab/>
          </w:r>
          <w:r>
            <w:fldChar w:fldCharType="begin"/>
          </w:r>
          <w:r>
            <w:instrText xml:space="preserve"> PAGEREF _Toc43288595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（二）资金用途</w:t>
          </w:r>
          <w:r>
            <w:tab/>
          </w:r>
          <w:r>
            <w:fldChar w:fldCharType="begin"/>
          </w:r>
          <w:r>
            <w:instrText xml:space="preserve"> PAGEREF _Toc43288596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（三）融资需求</w:t>
          </w:r>
          <w:r>
            <w:tab/>
          </w:r>
          <w:r>
            <w:fldChar w:fldCharType="begin"/>
          </w:r>
          <w:r>
            <w:instrText xml:space="preserve"> PAGEREF _Toc43288597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（四）风险资金退出方式</w:t>
          </w:r>
          <w:r>
            <w:tab/>
          </w:r>
          <w:r>
            <w:fldChar w:fldCharType="begin"/>
          </w:r>
          <w:r>
            <w:instrText xml:space="preserve"> PAGEREF _Toc43288598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（五）投资可行性分析</w:t>
          </w:r>
          <w:r>
            <w:tab/>
          </w:r>
          <w:r>
            <w:fldChar w:fldCharType="begin"/>
          </w:r>
          <w:r>
            <w:instrText xml:space="preserve"> PAGEREF _Toc43288599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九、风险评估与防范</w:t>
          </w:r>
          <w:r>
            <w:tab/>
          </w:r>
          <w:r>
            <w:fldChar w:fldCharType="begin"/>
          </w:r>
          <w:r>
            <w:instrText xml:space="preserve"> PAGEREF _Toc43288600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（一）风险分析</w:t>
          </w:r>
          <w:r>
            <w:tab/>
          </w:r>
          <w:r>
            <w:fldChar w:fldCharType="begin"/>
          </w:r>
          <w:r>
            <w:instrText xml:space="preserve"> PAGEREF _Toc43288601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（二）风险防范</w:t>
          </w:r>
          <w:r>
            <w:tab/>
          </w:r>
          <w:r>
            <w:fldChar w:fldCharType="begin"/>
          </w:r>
          <w:r>
            <w:instrText xml:space="preserve"> PAGEREF _Toc43288602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十、附录</w:t>
          </w:r>
          <w:r>
            <w:tab/>
          </w:r>
          <w:r>
            <w:fldChar w:fldCharType="begin"/>
          </w:r>
          <w:r>
            <w:instrText xml:space="preserve"> PAGEREF _Toc43288603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（一）营业执照</w:t>
          </w:r>
          <w:r>
            <w:tab/>
          </w:r>
          <w:r>
            <w:fldChar w:fldCharType="begin"/>
          </w:r>
          <w:r>
            <w:instrText xml:space="preserve"> PAGEREF _Toc43288604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（二）相关专利</w:t>
          </w:r>
          <w:r>
            <w:tab/>
          </w:r>
          <w:r>
            <w:fldChar w:fldCharType="begin"/>
          </w:r>
          <w:r>
            <w:instrText xml:space="preserve"> PAGEREF _Toc43288605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（三）其他</w:t>
          </w:r>
          <w:r>
            <w:tab/>
          </w:r>
          <w:r>
            <w:fldChar w:fldCharType="begin"/>
          </w:r>
          <w:r>
            <w:instrText xml:space="preserve"> PAGEREF _Toc43288606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" w:name="_Toc43288553"/>
      <w:r>
        <w:rPr>
          <w:rFonts w:hint="eastAsia" w:ascii="宋体" w:hAnsi="宋体" w:eastAsia="宋体"/>
          <w:sz w:val="30"/>
          <w:szCs w:val="30"/>
        </w:rPr>
        <w:t>项目摘要</w:t>
      </w:r>
      <w:bookmarkEnd w:id="3"/>
    </w:p>
    <w:p>
      <w:pPr>
        <w:pStyle w:val="3"/>
        <w:numPr>
          <w:ilvl w:val="0"/>
          <w:numId w:val="2"/>
        </w:numPr>
        <w:spacing w:before="156" w:beforeLines="50" w:after="0" w:line="360" w:lineRule="auto"/>
        <w:jc w:val="left"/>
        <w:rPr>
          <w:rFonts w:hint="eastAsia" w:ascii="宋体" w:hAnsi="宋体" w:eastAsia="宋体"/>
          <w:sz w:val="28"/>
          <w:lang w:eastAsia="zh-CN"/>
        </w:rPr>
      </w:pPr>
      <w:bookmarkStart w:id="4" w:name="_Toc43288554"/>
      <w:r>
        <w:rPr>
          <w:rFonts w:hint="eastAsia" w:ascii="宋体" w:hAnsi="宋体" w:eastAsia="宋体"/>
          <w:sz w:val="28"/>
        </w:rPr>
        <w:t>项目简介</w:t>
      </w:r>
      <w:bookmarkEnd w:id="4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语言，是人与人之间交流的工具，语言的产生促进了人类的进步，文字随着语言的出现，应运而生，文字是语言的视觉形式，文字的出现，突破了口语所受的空间和时间限制；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语言文字是民族文化传承的载体，也是民族文化的结晶，全国绝大部分少数民族都有着属于自己的独特语言文字；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随着时间历程，也为了全</w:t>
      </w:r>
      <w:bookmarkStart w:id="57" w:name="_GoBack"/>
      <w:bookmarkEnd w:id="57"/>
      <w:r>
        <w:rPr>
          <w:rFonts w:hint="eastAsia" w:ascii="宋体" w:hAnsi="宋体" w:eastAsia="宋体"/>
          <w:sz w:val="24"/>
          <w:szCs w:val="24"/>
          <w:lang w:val="en-US" w:eastAsia="zh-CN"/>
        </w:rPr>
        <w:t>国统一交流，全国开始推普（推广普通话），普通话开始在全国流行，以极快的速度蔓延在四海八方，原本语言不通的各民族之间，也能通过普通话进行交流，极大的促进了民族文化的交流；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但是，你是否发现，曾经你熟悉的乡音，已经慢慢消失在脑海之中，刻画在墙上的民族文字，也成了一堆看不懂的“文字”；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中国是一个多民族国家，少数民族语言言文化都蕴藏着丰富的智慧，随着少数民族语言文字的遗失，国家也开始着重保护少数民族的语言文字，逐步出台了一系列的政策；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加强立法，始终维护和保障少数民族语言文字的使用发展权利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我国坚持各民族平等原则，加强语言立法，以保障各民族都有使用和发展本民族语言文字的自由。同时，国家推广普通话，在语言关系上做到了多样性和统一性相结合。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响应国家政策，本着“人工智能”为开端，“翻译少数民族语言文字”为过程，“记忆少数民族语言文字”为目标，开发一款翻译引擎，保护少数民族语言文字；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 应运时代发展潮流，科技也不再限于“往前看”，催生新事物；“留住记忆”，也是科技的另一方面，利用科技的力量，将少数民族的语言文字，以另一种方式“新生”；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前期以翻译文字为主，将现存的少数民族文字进行翻译，将少数民族文字翻译为汉字，而后将汉语翻译成少数民族文字，先让少数民族文字和汉字之间形成一层对应关系，一个少数民族形成一套“文字数据库”；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后期，将采集少数民族的语言，文字始终是死的，让曾经的乡音再次萦绕耳边，让少数民族语言和少数民族文字之间，也形成对应关系。让“死”的文字“活”起来，形成“语言数据库”；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在“文字数据库”——“语言数据库”，落实之后，将会把两者结合起来，开发出一款翻译引擎，能够通过相机的扫描，将少数民族文字录入引擎之中，而后进行一系列分析，最终翻译成汉字，或者，输入一段汉字，点击翻译，便能将汉字翻译成少数民族文字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当然，不止于此，对着引擎说上几句少数民族语言，也能将其翻译成中文，或是说上几句普通话，便能翻译成少数民族语言；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甚至能以动画的方式，将少数民族的语言文字展示在人们面前；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5" w:name="_Toc43288555"/>
      <w:r>
        <w:rPr>
          <w:rFonts w:hint="eastAsia" w:ascii="宋体" w:hAnsi="宋体" w:eastAsia="宋体"/>
          <w:sz w:val="28"/>
        </w:rPr>
        <w:t>产品和服务</w:t>
      </w:r>
      <w:bookmarkEnd w:id="5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6" w:name="_Toc43288556"/>
      <w:r>
        <w:rPr>
          <w:rFonts w:hint="eastAsia" w:ascii="宋体" w:hAnsi="宋体" w:eastAsia="宋体"/>
          <w:sz w:val="28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我们的产品是一款翻译引擎，能通过扫描文字，将扫描到的东西，录入引擎之中，与前期录入的少数民族文字之间进行对比，排序，最终，能实现少数民族语言文字和汉字之间互通；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theme="majorBidi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当然，不止于文字的翻译，也能进行语言之间的翻译，只要对着引擎说上一句话，便能将少数民族的语言翻译成汉语，并通音响引擎，将其播放出来，当然，也能翻译成你想翻译成的语言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两个语言不通的少数民族同胞们，也能通过引擎进行正常的交流；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当然，我们的引擎不只是为了翻译少数民族语言文字而生，也是为了传承和发展少数民族语言文字而产生，不同用户对引擎的使用，录入的语言文字，都将通过内部储存文件储存起来，把这份记忆永久流传；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  <w:lang w:eastAsia="zh-CN"/>
        </w:rPr>
      </w:pPr>
      <w:r>
        <w:rPr>
          <w:rFonts w:hint="eastAsia" w:ascii="宋体" w:hAnsi="宋体" w:eastAsia="宋体"/>
          <w:sz w:val="28"/>
        </w:rPr>
        <w:t>（三）商业模式</w:t>
      </w:r>
      <w:bookmarkEnd w:id="6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7" w:name="_Toc43288557"/>
      <w:r>
        <w:rPr>
          <w:rFonts w:hint="eastAsia" w:ascii="宋体" w:hAnsi="宋体" w:eastAsia="宋体"/>
          <w:sz w:val="28"/>
        </w:rPr>
        <w:t>（四）核心优势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少数民族语言文字的保护和传承，依旧是一个很大的问题，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老一代的老人，不会说普通话，新一代的年轻人，连自己本民族的语言都不晓一二，老与新之间，形成了隔阂，少数民族语言文字正在流失；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传统的保护方式已经更不上时代的发展，只有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利用日新月异的高科技，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从技术上进行创新，才能对少数民族语言文字进行传承和发展；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我们现在做的，不只是为了少数民族之间能通过引擎进行正常交流，更是为了保护少数民族的语言文字，走的是一条“语言翻译”+“文化传承”之路；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8" w:name="_Toc43288558"/>
      <w:r>
        <w:rPr>
          <w:rFonts w:hint="eastAsia" w:ascii="宋体" w:hAnsi="宋体" w:eastAsia="宋体"/>
          <w:sz w:val="28"/>
        </w:rPr>
        <w:t>市场分析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时代的发展：中国是一个多民族国家，呈现出多民族文化， 2005年，普通话开始在全国推广，普通话开始在中国大地上蔓延，可是到了今天，中国还是存在很大一部分的语言交流困难，在一些地区，人与人之间的交流，仍是以本民族语言为主，与外界交流，还是依靠一些翻译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随着普通话的推广，普通话和少数民族语言之间形成了一定的隔阂，这主要体现在新生代和老一辈之中，新一代走出了大山，学会了说普通话，可是对于本民族语言却遗忘了许多；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很多新一代，在城市安家之后，其下一代对于民族语言甚至不知晓，新老交替所造成的少数民族语言文字流失也是一个很大的问题；少数民族语言翻译、少数民族语言文字的传承都是重之之重；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9" w:name="_Toc43288559"/>
      <w:r>
        <w:rPr>
          <w:rFonts w:hint="eastAsia" w:ascii="宋体" w:hAnsi="宋体" w:eastAsia="宋体"/>
          <w:sz w:val="28"/>
        </w:rPr>
        <w:t>（六）财务分析</w:t>
      </w:r>
      <w:bookmarkEnd w:id="9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0" w:name="_Toc43288560"/>
      <w:r>
        <w:rPr>
          <w:rFonts w:hint="eastAsia" w:ascii="宋体" w:hAnsi="宋体" w:eastAsia="宋体"/>
          <w:sz w:val="28"/>
        </w:rPr>
        <w:t>（七）管理团队</w:t>
      </w:r>
      <w:bookmarkEnd w:id="10"/>
    </w:p>
    <w:p/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1" w:name="_Toc43288561"/>
      <w:r>
        <w:rPr>
          <w:rFonts w:hint="eastAsia" w:ascii="宋体" w:hAnsi="宋体" w:eastAsia="宋体"/>
          <w:sz w:val="28"/>
        </w:rPr>
        <w:t>（八）带动就业创业情况</w:t>
      </w:r>
      <w:bookmarkEnd w:id="1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2" w:name="_Toc43288562"/>
      <w:r>
        <w:rPr>
          <w:rFonts w:hint="eastAsia" w:ascii="宋体" w:hAnsi="宋体" w:eastAsia="宋体"/>
          <w:sz w:val="28"/>
        </w:rPr>
        <w:t>（九）相关报道</w:t>
      </w:r>
      <w:bookmarkEnd w:id="1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3" w:name="_Toc43288563"/>
      <w:r>
        <w:rPr>
          <w:rFonts w:hint="eastAsia" w:ascii="宋体" w:hAnsi="宋体" w:eastAsia="宋体"/>
          <w:sz w:val="30"/>
          <w:szCs w:val="30"/>
        </w:rPr>
        <w:t>二、产品介绍</w:t>
      </w:r>
      <w:bookmarkEnd w:id="13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4" w:name="_Toc43288564"/>
      <w:r>
        <w:rPr>
          <w:rFonts w:hint="eastAsia" w:ascii="宋体" w:hAnsi="宋体" w:eastAsia="宋体"/>
          <w:sz w:val="28"/>
        </w:rPr>
        <w:t>（一）产品概述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我们的产品是一款翻译引擎，能翻译少数民族的语言文字，也能将汉字汉语翻译成少数民族语言文字，不仅方便了少数民族的交流，也能对少数民族的语言文字进行记忆、传承和发展；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5" w:name="_Toc43288565"/>
      <w:r>
        <w:rPr>
          <w:rFonts w:hint="eastAsia" w:ascii="宋体" w:hAnsi="宋体" w:eastAsia="宋体"/>
          <w:sz w:val="28"/>
        </w:rPr>
        <w:t>（二）主营产品与服务</w:t>
      </w:r>
      <w:bookmarkEnd w:id="1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6" w:name="_Toc43288566"/>
      <w:r>
        <w:rPr>
          <w:rFonts w:hint="eastAsia" w:ascii="宋体" w:hAnsi="宋体" w:eastAsia="宋体"/>
          <w:sz w:val="28"/>
        </w:rPr>
        <w:t>（三）竞品分析</w:t>
      </w:r>
      <w:bookmarkEnd w:id="1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7" w:name="_Toc43288567"/>
      <w:r>
        <w:rPr>
          <w:rFonts w:hint="eastAsia" w:ascii="宋体" w:hAnsi="宋体" w:eastAsia="宋体"/>
          <w:sz w:val="28"/>
        </w:rPr>
        <w:t>（四）核心竞争力</w:t>
      </w:r>
      <w:bookmarkEnd w:id="1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8" w:name="_Toc43288568"/>
      <w:r>
        <w:rPr>
          <w:rFonts w:hint="eastAsia" w:ascii="宋体" w:hAnsi="宋体" w:eastAsia="宋体"/>
          <w:sz w:val="28"/>
        </w:rPr>
        <w:t>（五）优势保持</w:t>
      </w:r>
      <w:bookmarkEnd w:id="1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9" w:name="_Toc43288569"/>
      <w:r>
        <w:rPr>
          <w:rFonts w:hint="eastAsia" w:ascii="宋体" w:hAnsi="宋体" w:eastAsia="宋体"/>
          <w:sz w:val="30"/>
          <w:szCs w:val="30"/>
        </w:rPr>
        <w:t>三、市场分析</w:t>
      </w:r>
      <w:bookmarkEnd w:id="1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0" w:name="_Toc43288570"/>
      <w:r>
        <w:rPr>
          <w:rFonts w:hint="eastAsia" w:ascii="宋体" w:hAnsi="宋体" w:eastAsia="宋体"/>
          <w:sz w:val="28"/>
        </w:rPr>
        <w:t>（一）市场背景</w:t>
      </w:r>
      <w:bookmarkEnd w:id="2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1" w:name="_Toc43288571"/>
      <w:r>
        <w:rPr>
          <w:rFonts w:hint="eastAsia" w:ascii="宋体" w:hAnsi="宋体" w:eastAsia="宋体"/>
          <w:sz w:val="28"/>
        </w:rPr>
        <w:t>（二）市场现状与规模</w:t>
      </w:r>
      <w:bookmarkEnd w:id="2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2" w:name="_Toc43288572"/>
      <w:r>
        <w:rPr>
          <w:rFonts w:hint="eastAsia" w:ascii="宋体" w:hAnsi="宋体" w:eastAsia="宋体"/>
          <w:sz w:val="28"/>
        </w:rPr>
        <w:t>（三）市场前景与趋势</w:t>
      </w:r>
      <w:bookmarkEnd w:id="2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3" w:name="_Toc43288573"/>
      <w:r>
        <w:rPr>
          <w:rFonts w:hint="eastAsia" w:ascii="宋体" w:hAnsi="宋体" w:eastAsia="宋体"/>
          <w:sz w:val="30"/>
          <w:szCs w:val="30"/>
        </w:rPr>
        <w:t>四、商业模式</w:t>
      </w:r>
      <w:bookmarkEnd w:id="2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4" w:name="_Toc43288574"/>
      <w:r>
        <w:rPr>
          <w:rFonts w:hint="eastAsia" w:ascii="宋体" w:hAnsi="宋体" w:eastAsia="宋体"/>
          <w:sz w:val="28"/>
        </w:rPr>
        <w:t>（一）经营模式</w:t>
      </w:r>
      <w:bookmarkEnd w:id="2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5" w:name="_Toc43288575"/>
      <w:r>
        <w:rPr>
          <w:rFonts w:hint="eastAsia" w:ascii="宋体" w:hAnsi="宋体" w:eastAsia="宋体"/>
          <w:sz w:val="28"/>
        </w:rPr>
        <w:t>（二）关键资源能力</w:t>
      </w:r>
      <w:bookmarkEnd w:id="2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6" w:name="_Toc43288576"/>
      <w:r>
        <w:rPr>
          <w:rFonts w:hint="eastAsia" w:ascii="宋体" w:hAnsi="宋体" w:eastAsia="宋体"/>
          <w:sz w:val="28"/>
        </w:rPr>
        <w:t>（三）业务系统</w:t>
      </w:r>
      <w:bookmarkEnd w:id="2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7" w:name="_Toc43288577"/>
      <w:r>
        <w:rPr>
          <w:rFonts w:hint="eastAsia" w:ascii="宋体" w:hAnsi="宋体" w:eastAsia="宋体"/>
          <w:sz w:val="28"/>
        </w:rPr>
        <w:t>（四）盈利模式</w:t>
      </w:r>
      <w:bookmarkEnd w:id="27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8" w:name="_Toc43288578"/>
      <w:r>
        <w:rPr>
          <w:rFonts w:hint="eastAsia" w:ascii="宋体" w:hAnsi="宋体" w:eastAsia="宋体"/>
          <w:sz w:val="30"/>
          <w:szCs w:val="30"/>
        </w:rPr>
        <w:t>五、销售策略</w:t>
      </w:r>
      <w:bookmarkEnd w:id="2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9" w:name="_Toc43288579"/>
      <w:r>
        <w:rPr>
          <w:rFonts w:hint="eastAsia" w:ascii="宋体" w:hAnsi="宋体" w:eastAsia="宋体"/>
          <w:sz w:val="28"/>
        </w:rPr>
        <w:t>（一）目标市场</w:t>
      </w:r>
      <w:bookmarkEnd w:id="2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0" w:name="_Toc43288580"/>
      <w:r>
        <w:rPr>
          <w:rFonts w:hint="eastAsia" w:ascii="宋体" w:hAnsi="宋体" w:eastAsia="宋体"/>
          <w:sz w:val="28"/>
        </w:rPr>
        <w:t>（二）定价策略</w:t>
      </w:r>
      <w:bookmarkEnd w:id="3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1" w:name="_Toc43288581"/>
      <w:r>
        <w:rPr>
          <w:rFonts w:hint="eastAsia" w:ascii="宋体" w:hAnsi="宋体" w:eastAsia="宋体"/>
          <w:sz w:val="28"/>
        </w:rPr>
        <w:t>（三）渠道策略</w:t>
      </w:r>
      <w:bookmarkEnd w:id="3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2" w:name="_Toc43288582"/>
      <w:r>
        <w:rPr>
          <w:rFonts w:hint="eastAsia" w:ascii="宋体" w:hAnsi="宋体" w:eastAsia="宋体"/>
          <w:sz w:val="28"/>
        </w:rPr>
        <w:t>（四）推广策略</w:t>
      </w:r>
      <w:bookmarkEnd w:id="3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3" w:name="_Toc43288583"/>
      <w:r>
        <w:rPr>
          <w:rFonts w:hint="eastAsia" w:ascii="宋体" w:hAnsi="宋体" w:eastAsia="宋体"/>
          <w:sz w:val="28"/>
        </w:rPr>
        <w:t>（五）市场开发与进入策略</w:t>
      </w:r>
      <w:bookmarkEnd w:id="3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4" w:name="_Toc43288584"/>
      <w:r>
        <w:rPr>
          <w:rFonts w:hint="eastAsia" w:ascii="宋体" w:hAnsi="宋体" w:eastAsia="宋体"/>
          <w:sz w:val="30"/>
          <w:szCs w:val="30"/>
        </w:rPr>
        <w:t>六、管理体系</w:t>
      </w:r>
      <w:bookmarkEnd w:id="3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5" w:name="_Toc43288585"/>
      <w:r>
        <w:rPr>
          <w:rFonts w:hint="eastAsia" w:ascii="宋体" w:hAnsi="宋体" w:eastAsia="宋体"/>
          <w:sz w:val="28"/>
        </w:rPr>
        <w:t>（一）组织架构</w:t>
      </w:r>
      <w:bookmarkEnd w:id="3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6" w:name="_Toc43288586"/>
      <w:r>
        <w:rPr>
          <w:rFonts w:hint="eastAsia" w:ascii="宋体" w:hAnsi="宋体" w:eastAsia="宋体"/>
          <w:sz w:val="28"/>
        </w:rPr>
        <w:t>（二）主要管理人员</w:t>
      </w:r>
      <w:bookmarkEnd w:id="3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7" w:name="_Toc43288587"/>
      <w:r>
        <w:rPr>
          <w:rFonts w:hint="eastAsia" w:ascii="宋体" w:hAnsi="宋体" w:eastAsia="宋体"/>
          <w:sz w:val="28"/>
        </w:rPr>
        <w:t>（三）团队其他成员</w:t>
      </w:r>
      <w:bookmarkEnd w:id="3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8" w:name="_Toc43288588"/>
      <w:r>
        <w:rPr>
          <w:rFonts w:hint="eastAsia" w:ascii="宋体" w:hAnsi="宋体" w:eastAsia="宋体"/>
          <w:sz w:val="28"/>
        </w:rPr>
        <w:t>（四）管理制度</w:t>
      </w:r>
      <w:bookmarkEnd w:id="3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9" w:name="_Toc43288589"/>
      <w:r>
        <w:rPr>
          <w:rFonts w:hint="eastAsia" w:ascii="宋体" w:hAnsi="宋体" w:eastAsia="宋体"/>
          <w:sz w:val="30"/>
          <w:szCs w:val="30"/>
        </w:rPr>
        <w:t>七、财务分析</w:t>
      </w:r>
      <w:bookmarkEnd w:id="3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0" w:name="_Toc43288590"/>
      <w:r>
        <w:rPr>
          <w:rFonts w:hint="eastAsia" w:ascii="宋体" w:hAnsi="宋体" w:eastAsia="宋体"/>
          <w:sz w:val="28"/>
        </w:rPr>
        <w:t>（一）股权结构</w:t>
      </w:r>
      <w:bookmarkEnd w:id="4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1" w:name="_Toc43288591"/>
      <w:r>
        <w:rPr>
          <w:rFonts w:hint="eastAsia" w:ascii="宋体" w:hAnsi="宋体" w:eastAsia="宋体"/>
          <w:sz w:val="28"/>
        </w:rPr>
        <w:t>（二）资产负债表</w:t>
      </w:r>
      <w:bookmarkEnd w:id="4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2" w:name="_Toc43288592"/>
      <w:r>
        <w:rPr>
          <w:rFonts w:hint="eastAsia" w:ascii="宋体" w:hAnsi="宋体" w:eastAsia="宋体"/>
          <w:sz w:val="28"/>
        </w:rPr>
        <w:t>（三）现金流量表</w:t>
      </w:r>
      <w:bookmarkEnd w:id="4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3" w:name="_Toc43288593"/>
      <w:r>
        <w:rPr>
          <w:rFonts w:hint="eastAsia" w:ascii="宋体" w:hAnsi="宋体" w:eastAsia="宋体"/>
          <w:sz w:val="28"/>
        </w:rPr>
        <w:t>（四）利润表</w:t>
      </w:r>
      <w:bookmarkEnd w:id="4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44" w:name="_Toc43288594"/>
      <w:r>
        <w:rPr>
          <w:rFonts w:hint="eastAsia" w:ascii="宋体" w:hAnsi="宋体" w:eastAsia="宋体"/>
          <w:sz w:val="30"/>
          <w:szCs w:val="30"/>
        </w:rPr>
        <w:t>八、融资方案</w:t>
      </w:r>
      <w:bookmarkEnd w:id="4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5" w:name="_Toc43288595"/>
      <w:r>
        <w:rPr>
          <w:rFonts w:hint="eastAsia" w:ascii="宋体" w:hAnsi="宋体" w:eastAsia="宋体"/>
          <w:sz w:val="28"/>
        </w:rPr>
        <w:t>（一）资金需求计划</w:t>
      </w:r>
      <w:bookmarkEnd w:id="4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6" w:name="_Toc43288596"/>
      <w:r>
        <w:rPr>
          <w:rFonts w:hint="eastAsia" w:ascii="宋体" w:hAnsi="宋体" w:eastAsia="宋体"/>
          <w:sz w:val="28"/>
        </w:rPr>
        <w:t>（二）资金用途</w:t>
      </w:r>
      <w:bookmarkEnd w:id="4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7" w:name="_Toc43288597"/>
      <w:r>
        <w:rPr>
          <w:rFonts w:hint="eastAsia" w:ascii="宋体" w:hAnsi="宋体" w:eastAsia="宋体"/>
          <w:sz w:val="28"/>
        </w:rPr>
        <w:t>（三）融资需求</w:t>
      </w:r>
      <w:bookmarkEnd w:id="4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8" w:name="_Toc43288598"/>
      <w:r>
        <w:rPr>
          <w:rFonts w:hint="eastAsia" w:ascii="宋体" w:hAnsi="宋体" w:eastAsia="宋体"/>
          <w:sz w:val="28"/>
        </w:rPr>
        <w:t>（四）风险资金退出方式</w:t>
      </w:r>
      <w:bookmarkEnd w:id="4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9" w:name="_Toc43288599"/>
      <w:r>
        <w:rPr>
          <w:rFonts w:hint="eastAsia" w:ascii="宋体" w:hAnsi="宋体" w:eastAsia="宋体"/>
          <w:sz w:val="28"/>
        </w:rPr>
        <w:t>（五）投资可行性分析</w:t>
      </w:r>
      <w:bookmarkEnd w:id="49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0" w:name="_Toc43288600"/>
      <w:r>
        <w:rPr>
          <w:rFonts w:hint="eastAsia" w:ascii="宋体" w:hAnsi="宋体" w:eastAsia="宋体"/>
          <w:sz w:val="30"/>
          <w:szCs w:val="30"/>
        </w:rPr>
        <w:t>九、风险评估与防范</w:t>
      </w:r>
      <w:bookmarkEnd w:id="5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1" w:name="_Toc43288601"/>
      <w:r>
        <w:rPr>
          <w:rFonts w:hint="eastAsia" w:ascii="宋体" w:hAnsi="宋体" w:eastAsia="宋体"/>
          <w:sz w:val="28"/>
        </w:rPr>
        <w:t>（一）风险分析</w:t>
      </w:r>
      <w:bookmarkEnd w:id="5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2" w:name="_Toc43288602"/>
      <w:r>
        <w:rPr>
          <w:rFonts w:hint="eastAsia" w:ascii="宋体" w:hAnsi="宋体" w:eastAsia="宋体"/>
          <w:sz w:val="28"/>
        </w:rPr>
        <w:t>（二）风险防范</w:t>
      </w:r>
      <w:bookmarkEnd w:id="5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3" w:name="_Toc43288603"/>
      <w:r>
        <w:rPr>
          <w:rFonts w:hint="eastAsia" w:ascii="宋体" w:hAnsi="宋体" w:eastAsia="宋体"/>
          <w:sz w:val="30"/>
          <w:szCs w:val="30"/>
        </w:rPr>
        <w:t>十、附录</w:t>
      </w:r>
      <w:bookmarkEnd w:id="5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4" w:name="_Toc43288604"/>
      <w:r>
        <w:rPr>
          <w:rFonts w:hint="eastAsia" w:ascii="宋体" w:hAnsi="宋体" w:eastAsia="宋体"/>
          <w:sz w:val="28"/>
        </w:rPr>
        <w:t>（一）营业执照</w:t>
      </w:r>
      <w:bookmarkEnd w:id="5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5" w:name="_Toc43288605"/>
      <w:r>
        <w:rPr>
          <w:rFonts w:hint="eastAsia" w:ascii="宋体" w:hAnsi="宋体" w:eastAsia="宋体"/>
          <w:sz w:val="28"/>
        </w:rPr>
        <w:t>（二）相关专利</w:t>
      </w:r>
      <w:bookmarkEnd w:id="55"/>
    </w:p>
    <w:p>
      <w:pPr>
        <w:pStyle w:val="3"/>
        <w:spacing w:before="156" w:beforeLines="50" w:after="0" w:line="360" w:lineRule="auto"/>
        <w:jc w:val="left"/>
      </w:pPr>
      <w:bookmarkStart w:id="56" w:name="_Toc43288606"/>
      <w:r>
        <w:rPr>
          <w:rFonts w:ascii="宋体" w:hAnsi="宋体" w:eastAsia="宋体"/>
          <w:sz w:val="28"/>
        </w:rPr>
        <w:t>（三）其他</w:t>
      </w:r>
      <w:bookmarkEnd w:id="56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C30B51"/>
    <w:multiLevelType w:val="multilevel"/>
    <w:tmpl w:val="63C30B51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74CE2"/>
    <w:multiLevelType w:val="singleLevel"/>
    <w:tmpl w:val="74F74C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6748381"/>
    <w:multiLevelType w:val="singleLevel"/>
    <w:tmpl w:val="76748381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6C"/>
    <w:rsid w:val="000150FB"/>
    <w:rsid w:val="00040FCB"/>
    <w:rsid w:val="00073D68"/>
    <w:rsid w:val="00074C73"/>
    <w:rsid w:val="00095A97"/>
    <w:rsid w:val="000A2322"/>
    <w:rsid w:val="000A2A33"/>
    <w:rsid w:val="000A2FBD"/>
    <w:rsid w:val="000A505A"/>
    <w:rsid w:val="000E0532"/>
    <w:rsid w:val="001055CC"/>
    <w:rsid w:val="0010719E"/>
    <w:rsid w:val="001159C7"/>
    <w:rsid w:val="00140449"/>
    <w:rsid w:val="00145A72"/>
    <w:rsid w:val="001509E0"/>
    <w:rsid w:val="001A028C"/>
    <w:rsid w:val="001B1941"/>
    <w:rsid w:val="001B4080"/>
    <w:rsid w:val="002345A1"/>
    <w:rsid w:val="00272359"/>
    <w:rsid w:val="002A012F"/>
    <w:rsid w:val="002C28A0"/>
    <w:rsid w:val="002D1767"/>
    <w:rsid w:val="00316D3F"/>
    <w:rsid w:val="00353C22"/>
    <w:rsid w:val="00355EFA"/>
    <w:rsid w:val="0037592A"/>
    <w:rsid w:val="0039171D"/>
    <w:rsid w:val="003B3046"/>
    <w:rsid w:val="003D65FF"/>
    <w:rsid w:val="003E6ABB"/>
    <w:rsid w:val="003F6DE2"/>
    <w:rsid w:val="003F7DB8"/>
    <w:rsid w:val="0041344A"/>
    <w:rsid w:val="00413572"/>
    <w:rsid w:val="00416C2B"/>
    <w:rsid w:val="00420035"/>
    <w:rsid w:val="00423BDD"/>
    <w:rsid w:val="004B1F3F"/>
    <w:rsid w:val="005133AD"/>
    <w:rsid w:val="00523A5A"/>
    <w:rsid w:val="00537FEC"/>
    <w:rsid w:val="005628CC"/>
    <w:rsid w:val="0058216F"/>
    <w:rsid w:val="005A54E0"/>
    <w:rsid w:val="005B6114"/>
    <w:rsid w:val="005F2A8D"/>
    <w:rsid w:val="00615CC0"/>
    <w:rsid w:val="00631863"/>
    <w:rsid w:val="00651822"/>
    <w:rsid w:val="00652C3A"/>
    <w:rsid w:val="00661F78"/>
    <w:rsid w:val="006633C8"/>
    <w:rsid w:val="00665E53"/>
    <w:rsid w:val="006725FC"/>
    <w:rsid w:val="0068627A"/>
    <w:rsid w:val="00692878"/>
    <w:rsid w:val="00697AA1"/>
    <w:rsid w:val="006B242A"/>
    <w:rsid w:val="006C1BFF"/>
    <w:rsid w:val="006D717E"/>
    <w:rsid w:val="006F0F50"/>
    <w:rsid w:val="006F3ACB"/>
    <w:rsid w:val="006F3DC7"/>
    <w:rsid w:val="007121D6"/>
    <w:rsid w:val="0073421C"/>
    <w:rsid w:val="00764FBB"/>
    <w:rsid w:val="00776538"/>
    <w:rsid w:val="00795089"/>
    <w:rsid w:val="007E59A1"/>
    <w:rsid w:val="00806438"/>
    <w:rsid w:val="00815252"/>
    <w:rsid w:val="00821437"/>
    <w:rsid w:val="008313CF"/>
    <w:rsid w:val="00831D68"/>
    <w:rsid w:val="008661DA"/>
    <w:rsid w:val="008B2383"/>
    <w:rsid w:val="008B721D"/>
    <w:rsid w:val="008C266D"/>
    <w:rsid w:val="008D73C1"/>
    <w:rsid w:val="0091674D"/>
    <w:rsid w:val="0092019F"/>
    <w:rsid w:val="00930752"/>
    <w:rsid w:val="00934AA2"/>
    <w:rsid w:val="00944BA9"/>
    <w:rsid w:val="0095177E"/>
    <w:rsid w:val="00952532"/>
    <w:rsid w:val="009821D3"/>
    <w:rsid w:val="009E1935"/>
    <w:rsid w:val="009E5F2A"/>
    <w:rsid w:val="00A301FA"/>
    <w:rsid w:val="00A47779"/>
    <w:rsid w:val="00A6071B"/>
    <w:rsid w:val="00A61C88"/>
    <w:rsid w:val="00A703C5"/>
    <w:rsid w:val="00A80B2E"/>
    <w:rsid w:val="00A8675C"/>
    <w:rsid w:val="00A86B2E"/>
    <w:rsid w:val="00A879F9"/>
    <w:rsid w:val="00AB221F"/>
    <w:rsid w:val="00AE6270"/>
    <w:rsid w:val="00B01616"/>
    <w:rsid w:val="00B054E5"/>
    <w:rsid w:val="00B1632B"/>
    <w:rsid w:val="00B375AD"/>
    <w:rsid w:val="00BA3E9D"/>
    <w:rsid w:val="00BB1D78"/>
    <w:rsid w:val="00BE1A99"/>
    <w:rsid w:val="00C17FAA"/>
    <w:rsid w:val="00C4689F"/>
    <w:rsid w:val="00C746D6"/>
    <w:rsid w:val="00C81658"/>
    <w:rsid w:val="00C870EE"/>
    <w:rsid w:val="00CA0A7F"/>
    <w:rsid w:val="00D0746C"/>
    <w:rsid w:val="00D53CBD"/>
    <w:rsid w:val="00D7353D"/>
    <w:rsid w:val="00D824A2"/>
    <w:rsid w:val="00D92975"/>
    <w:rsid w:val="00DA3BA2"/>
    <w:rsid w:val="00DA44B4"/>
    <w:rsid w:val="00DA599E"/>
    <w:rsid w:val="00DC7A7D"/>
    <w:rsid w:val="00DE42ED"/>
    <w:rsid w:val="00E47559"/>
    <w:rsid w:val="00E53944"/>
    <w:rsid w:val="00E80172"/>
    <w:rsid w:val="00F26E37"/>
    <w:rsid w:val="00F378FB"/>
    <w:rsid w:val="00FA76E9"/>
    <w:rsid w:val="00FB0FA6"/>
    <w:rsid w:val="11F46DCC"/>
    <w:rsid w:val="17D62265"/>
    <w:rsid w:val="23F41F8C"/>
    <w:rsid w:val="42B21F0C"/>
    <w:rsid w:val="51A668DC"/>
    <w:rsid w:val="568D1F5B"/>
    <w:rsid w:val="5ABD25B7"/>
    <w:rsid w:val="5C2E1B4E"/>
    <w:rsid w:val="68901E46"/>
    <w:rsid w:val="72487A57"/>
    <w:rsid w:val="77260FD1"/>
    <w:rsid w:val="7CC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ody Text"/>
    <w:basedOn w:val="1"/>
    <w:link w:val="25"/>
    <w:qFormat/>
    <w:uiPriority w:val="1"/>
    <w:pPr>
      <w:autoSpaceDE w:val="0"/>
      <w:autoSpaceDN w:val="0"/>
      <w:ind w:left="1800"/>
      <w:jc w:val="left"/>
    </w:pPr>
    <w:rPr>
      <w:rFonts w:ascii="仿宋" w:hAnsi="仿宋" w:eastAsia="仿宋" w:cs="仿宋"/>
      <w:kern w:val="0"/>
      <w:sz w:val="28"/>
      <w:szCs w:val="28"/>
      <w:lang w:eastAsia="en-US"/>
    </w:rPr>
  </w:style>
  <w:style w:type="paragraph" w:styleId="6">
    <w:name w:val="Date"/>
    <w:basedOn w:val="1"/>
    <w:next w:val="1"/>
    <w:link w:val="17"/>
    <w:qFormat/>
    <w:uiPriority w:val="0"/>
    <w:pPr>
      <w:ind w:left="100" w:leftChars="2500"/>
    </w:pPr>
    <w:rPr>
      <w:rFonts w:ascii="宋体" w:hAnsi="宋体"/>
      <w:b/>
      <w:sz w:val="32"/>
      <w:szCs w:val="32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日期 字符"/>
    <w:basedOn w:val="13"/>
    <w:link w:val="6"/>
    <w:qFormat/>
    <w:uiPriority w:val="0"/>
    <w:rPr>
      <w:rFonts w:ascii="宋体" w:hAnsi="宋体" w:eastAsia="宋体" w:cs="Times New Roman"/>
      <w:b/>
      <w:sz w:val="32"/>
      <w:szCs w:val="32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3">
    <w:name w:val="无间隔 字符"/>
    <w:basedOn w:val="13"/>
    <w:link w:val="22"/>
    <w:qFormat/>
    <w:uiPriority w:val="1"/>
    <w:rPr>
      <w:sz w:val="22"/>
      <w:szCs w:val="22"/>
    </w:rPr>
  </w:style>
  <w:style w:type="table" w:customStyle="1" w:styleId="24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正文文本 字符"/>
    <w:basedOn w:val="13"/>
    <w:link w:val="5"/>
    <w:qFormat/>
    <w:uiPriority w:val="1"/>
    <w:rPr>
      <w:rFonts w:ascii="仿宋" w:hAnsi="仿宋" w:eastAsia="仿宋" w:cs="仿宋"/>
      <w:sz w:val="28"/>
      <w:szCs w:val="28"/>
      <w:lang w:eastAsia="en-US"/>
    </w:rPr>
  </w:style>
  <w:style w:type="paragraph" w:customStyle="1" w:styleId="26">
    <w:name w:val="Table Paragraph"/>
    <w:basedOn w:val="1"/>
    <w:qFormat/>
    <w:uiPriority w:val="1"/>
    <w:pPr>
      <w:autoSpaceDE w:val="0"/>
      <w:autoSpaceDN w:val="0"/>
      <w:ind w:left="107"/>
      <w:jc w:val="left"/>
    </w:pPr>
    <w:rPr>
      <w:rFonts w:ascii="仿宋" w:hAnsi="仿宋" w:eastAsia="仿宋" w:cs="仿宋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BEF3D-A4AE-4D26-B4C6-AB9E8E6CD2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744</Words>
  <Characters>4245</Characters>
  <Lines>35</Lines>
  <Paragraphs>9</Paragraphs>
  <TotalTime>330</TotalTime>
  <ScaleCrop>false</ScaleCrop>
  <LinksUpToDate>false</LinksUpToDate>
  <CharactersWithSpaces>4980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2019-06-01T02:22:00Z</dcterms:created>
  <dc:creator> </dc:creator>
  <cp:lastModifiedBy>初夏晨曦</cp:lastModifiedBy>
  <dcterms:modified xsi:type="dcterms:W3CDTF">2021-04-02T04:03:52Z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2A321FB66BF74DBD85D418D19E2BDA3D</vt:lpwstr>
  </property>
</Properties>
</file>