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6" w:lineRule="exact"/>
        <w:rPr>
          <w:rFonts w:ascii="方正小标宋简体" w:hAnsi="方正小标宋简体" w:eastAsia="方正小标宋简体"/>
          <w:w w:val="95"/>
          <w:sz w:val="36"/>
          <w:szCs w:val="21"/>
          <w:lang w:eastAsia="zh-CN"/>
        </w:rPr>
      </w:pPr>
      <w:bookmarkStart w:id="0" w:name="_GoBack"/>
      <w:bookmarkEnd w:id="0"/>
      <w:r>
        <w:rPr>
          <w:rFonts w:hint="eastAsia" w:ascii="黑体" w:hAnsi="Calibri" w:eastAsia="黑体" w:cs="Times New Roman"/>
          <w:sz w:val="32"/>
          <w:szCs w:val="32"/>
          <w:lang w:eastAsia="zh-CN"/>
        </w:rPr>
        <w:t>附件8：</w:t>
      </w:r>
    </w:p>
    <w:p>
      <w:pPr>
        <w:autoSpaceDE/>
        <w:autoSpaceDN/>
        <w:spacing w:line="596" w:lineRule="exact"/>
        <w:jc w:val="center"/>
        <w:rPr>
          <w:rFonts w:ascii="Calibri" w:hAnsi="Calibri" w:eastAsia="宋体" w:cs="Times New Roman"/>
          <w:b/>
          <w:color w:val="000000"/>
          <w:kern w:val="2"/>
          <w:sz w:val="36"/>
          <w:szCs w:val="36"/>
          <w:lang w:eastAsia="zh-CN"/>
        </w:rPr>
      </w:pPr>
      <w:r>
        <w:rPr>
          <w:rFonts w:hint="eastAsia" w:ascii="Calibri" w:hAnsi="Calibri" w:eastAsia="宋体" w:cs="Times New Roman"/>
          <w:b/>
          <w:color w:val="000000"/>
          <w:kern w:val="2"/>
          <w:sz w:val="36"/>
          <w:szCs w:val="36"/>
          <w:lang w:eastAsia="zh-CN"/>
        </w:rPr>
        <w:t>首届“匠心杯”大学生创新创业大赛评审标准（试行）</w:t>
      </w:r>
    </w:p>
    <w:p>
      <w:pPr>
        <w:pStyle w:val="3"/>
        <w:spacing w:before="9"/>
        <w:ind w:left="0"/>
        <w:rPr>
          <w:rFonts w:ascii="方正小标宋简体"/>
          <w:lang w:eastAsia="zh-CN"/>
        </w:rPr>
      </w:pPr>
    </w:p>
    <w:p>
      <w:pPr>
        <w:pStyle w:val="3"/>
        <w:spacing w:before="0" w:line="360" w:lineRule="auto"/>
        <w:ind w:left="0"/>
        <w:rPr>
          <w:rFonts w:cs="Times New Roman"/>
          <w:b/>
          <w:kern w:val="2"/>
          <w:lang w:eastAsia="zh-CN"/>
        </w:rPr>
      </w:pPr>
      <w:r>
        <w:rPr>
          <w:rFonts w:hint="eastAsia" w:cs="Times New Roman"/>
          <w:b/>
          <w:kern w:val="2"/>
          <w:lang w:eastAsia="zh-CN"/>
        </w:rPr>
        <w:t>一、创意创新赛道评审标准</w:t>
      </w:r>
    </w:p>
    <w:p>
      <w:pPr>
        <w:pStyle w:val="3"/>
        <w:spacing w:before="0" w:line="360" w:lineRule="auto"/>
        <w:ind w:left="440" w:leftChars="200"/>
        <w:rPr>
          <w:rFonts w:ascii="仿宋_GB2312" w:hAnsi="Calibri" w:eastAsia="仿宋_GB2312" w:cs="Times New Roman"/>
          <w:b/>
          <w:bCs/>
          <w:kern w:val="2"/>
          <w:lang w:eastAsia="zh-CN"/>
        </w:rPr>
      </w:pPr>
      <w:r>
        <w:rPr>
          <w:rFonts w:hint="eastAsia" w:ascii="仿宋_GB2312" w:hAnsi="Calibri" w:eastAsia="仿宋_GB2312" w:cs="Times New Roman"/>
          <w:b/>
          <w:bCs/>
          <w:kern w:val="2"/>
          <w:lang w:eastAsia="zh-CN"/>
        </w:rPr>
        <w:t>（一）创意组项目评审要点</w:t>
      </w:r>
    </w:p>
    <w:tbl>
      <w:tblPr>
        <w:tblStyle w:val="7"/>
        <w:tblW w:w="10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751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45"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3"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1.具有原始创意、创造。</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2.具有面向培养“大国工匠”与能工巧匠的创意与创新。</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3.项目体现产教融合模式创新、校企合作模式创新、工学一体模式创新。</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4.鼓励面向职业和岗位的创意及创新，侧重于加工工艺创新、实用技术创新、产品（技术）改良、应用性优化、民生类创意等。</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团队情况</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1.团队成员的教育、实践、工作背景、创新能力、价值观念、分工协作和能力互补情况。</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2.团队的组织构架、股权结构、人员配置以及激励制度合理性情况。</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3.创业顾问、投资人以及战略合作伙伴等外部资源的使用以及与项目关系的情况。</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商业性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1.商业模式设计完整、可行，项目已具备盈利能力或具有较好的盈利潜力。</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2.项目在商业机会识别与利用、产品或服务设计、技术基础、竞争与合作、资金及人员计划，以及在现行法律法规限制等方面具有实施的可行性。</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3.对行业、市场、技术等方面有详实调研，并形成可靠的一手材料，强调实地调查和实践检验。</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4.项目目标市场容量及市场前景；发展战略和规模扩张策略的合理性和可行性；在财务管理（筹资、投资、营运资金、利润分配等）方面的合理性。</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5.项目对相关产业升级或颠覆的情况；项目与区域经济发展、产业转型升级相结合情况。</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带动就业</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1.项目直接提供就业岗位的数量和质量。</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2.项目间接带动就业的能力和规模。</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引领教育</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1.项目充分体现专业教育与创新创业教育的结合，体现团队成员所学专业知识和技能在项目和相关创新创业活动中的转化与应用。</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2.突出大赛的育人本质，充分体现项目成长对团队成员创新精神、创业意识和创新创业能力的锻炼和提升作用。</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bl>
    <w:p>
      <w:pPr>
        <w:widowControl/>
        <w:autoSpaceDE/>
        <w:autoSpaceDN/>
        <w:spacing w:line="260" w:lineRule="exact"/>
        <w:jc w:val="both"/>
        <w:textAlignment w:val="center"/>
        <w:rPr>
          <w:rFonts w:ascii="仿宋_GB2312" w:hAnsi="宋体" w:eastAsia="仿宋_GB2312" w:cs="宋体"/>
          <w:color w:val="000000"/>
          <w:sz w:val="21"/>
          <w:szCs w:val="21"/>
          <w:lang w:eastAsia="zh-CN" w:bidi="ar"/>
        </w:rPr>
      </w:pPr>
    </w:p>
    <w:p>
      <w:pPr>
        <w:widowControl/>
        <w:autoSpaceDE/>
        <w:autoSpaceDN/>
        <w:spacing w:line="260" w:lineRule="exact"/>
        <w:jc w:val="both"/>
        <w:textAlignment w:val="center"/>
        <w:rPr>
          <w:rFonts w:ascii="仿宋_GB2312" w:hAnsi="宋体" w:eastAsia="仿宋_GB2312" w:cs="宋体"/>
          <w:color w:val="000000"/>
          <w:sz w:val="21"/>
          <w:szCs w:val="21"/>
          <w:lang w:eastAsia="zh-CN" w:bidi="ar"/>
        </w:rPr>
      </w:pPr>
    </w:p>
    <w:p>
      <w:pPr>
        <w:pStyle w:val="3"/>
        <w:spacing w:before="0" w:line="360" w:lineRule="auto"/>
        <w:ind w:left="440" w:leftChars="200"/>
        <w:rPr>
          <w:rFonts w:ascii="仿宋_GB2312" w:hAnsi="Calibri" w:eastAsia="仿宋_GB2312" w:cs="Times New Roman"/>
          <w:b/>
          <w:bCs/>
          <w:kern w:val="2"/>
          <w:lang w:eastAsia="zh-CN"/>
        </w:rPr>
      </w:pPr>
      <w:r>
        <w:rPr>
          <w:rFonts w:hint="eastAsia" w:ascii="仿宋_GB2312" w:hAnsi="Calibri" w:eastAsia="仿宋_GB2312" w:cs="Times New Roman"/>
          <w:b/>
          <w:bCs/>
          <w:kern w:val="2"/>
          <w:lang w:eastAsia="zh-CN"/>
        </w:rPr>
        <w:t>（二）科技创新组作品评审要点</w:t>
      </w:r>
    </w:p>
    <w:tbl>
      <w:tblPr>
        <w:tblStyle w:val="9"/>
        <w:tblW w:w="0" w:type="auto"/>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6"/>
        <w:gridCol w:w="7512"/>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646"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2"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5"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是否有新见解</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有无填补某一领域空白</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科学性与先进性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考虑发明制作的技术意义</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考虑发明制作技术方案的合理性</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考虑发明制作是否处于该领域的前沿位置</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实用性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考虑发明制作是否促进技术发展</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考虑发明制作是否促进学术进步</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考虑科技发明的成熟程度</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35"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逻辑论证</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立论清晰、主题明确</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论据充分、科学可靠</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分析全面、推论合理、逻辑性强</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数据处理、实验设计与方法先进可靠 </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结论准确、严密</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1"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文字表述</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文字表达精炼流畅，用词准确，主题突出</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3"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经济效益</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能够提高社会质量</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价格高低，面向的人群是否广泛</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bl>
    <w:p>
      <w:pPr>
        <w:pStyle w:val="3"/>
        <w:spacing w:before="0" w:line="360" w:lineRule="auto"/>
        <w:ind w:left="0"/>
        <w:rPr>
          <w:rFonts w:ascii="仿宋_GB2312" w:hAnsi="Calibri" w:eastAsia="仿宋_GB2312" w:cs="Times New Roman"/>
          <w:b/>
          <w:bCs/>
          <w:kern w:val="2"/>
          <w:lang w:eastAsia="zh-CN"/>
        </w:rPr>
      </w:pPr>
    </w:p>
    <w:p>
      <w:pPr>
        <w:pStyle w:val="3"/>
        <w:spacing w:before="0" w:line="360" w:lineRule="auto"/>
        <w:ind w:left="440" w:leftChars="200"/>
        <w:rPr>
          <w:rFonts w:ascii="仿宋_GB2312" w:hAnsi="Calibri" w:eastAsia="仿宋_GB2312" w:cs="Times New Roman"/>
          <w:b/>
          <w:bCs/>
          <w:kern w:val="2"/>
          <w:lang w:eastAsia="zh-CN"/>
        </w:rPr>
      </w:pPr>
      <w:r>
        <w:rPr>
          <w:rFonts w:hint="eastAsia" w:ascii="仿宋_GB2312" w:hAnsi="Calibri" w:eastAsia="仿宋_GB2312" w:cs="Times New Roman"/>
          <w:b/>
          <w:bCs/>
          <w:kern w:val="2"/>
          <w:lang w:eastAsia="zh-CN"/>
        </w:rPr>
        <w:t>（三）学术成果组作品评审要点（自然科学类学术论文）</w:t>
      </w:r>
    </w:p>
    <w:tbl>
      <w:tblPr>
        <w:tblStyle w:val="9"/>
        <w:tblW w:w="0" w:type="auto"/>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6"/>
        <w:gridCol w:w="7512"/>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646"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2"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4"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是否有新的见解</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是否填补某一领域空白</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0"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科学性和先进性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考虑论文的研究方法合理性 </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考虑论文结论的重要性</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考虑论文是否处于该领域的前沿位置</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实用性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考虑论文实际应用价值</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考虑论文的影响范围 </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5"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逻辑论证</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立论清晰、主题明确</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论据充分、科学可靠</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分析全面、推论合理、逻辑性强</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数据处理、实验设计与方法先进可靠 </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结论准确、严密</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1"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文字表述</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文字表达精炼流畅，用词准确，主题突出</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8"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研究价值</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可否进行一步研究</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对现状的改变的必要性大小 </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bl>
    <w:p>
      <w:pPr>
        <w:rPr>
          <w:rFonts w:ascii="宋体" w:hAnsi="宋体" w:eastAsia="宋体" w:cs="宋体"/>
          <w:b/>
          <w:bCs/>
          <w:sz w:val="28"/>
          <w:szCs w:val="28"/>
          <w:lang w:eastAsia="zh-CN"/>
        </w:rPr>
      </w:pPr>
    </w:p>
    <w:p>
      <w:pPr>
        <w:rPr>
          <w:rFonts w:ascii="宋体" w:hAnsi="宋体" w:eastAsia="宋体" w:cs="宋体"/>
          <w:b/>
          <w:bCs/>
          <w:sz w:val="28"/>
          <w:szCs w:val="28"/>
          <w:lang w:eastAsia="zh-CN"/>
        </w:rPr>
      </w:pPr>
    </w:p>
    <w:p>
      <w:pPr>
        <w:rPr>
          <w:rFonts w:ascii="仿宋_GB2312" w:hAnsi="Calibri" w:eastAsia="仿宋_GB2312" w:cs="Times New Roman"/>
          <w:b/>
          <w:bCs/>
          <w:kern w:val="2"/>
          <w:sz w:val="32"/>
          <w:szCs w:val="32"/>
          <w:lang w:eastAsia="zh-CN"/>
        </w:rPr>
      </w:pPr>
      <w:r>
        <w:rPr>
          <w:rFonts w:hint="eastAsia" w:ascii="仿宋_GB2312" w:hAnsi="Calibri" w:eastAsia="仿宋_GB2312" w:cs="Times New Roman"/>
          <w:b/>
          <w:bCs/>
          <w:kern w:val="2"/>
          <w:sz w:val="32"/>
          <w:szCs w:val="32"/>
          <w:lang w:eastAsia="zh-CN"/>
        </w:rPr>
        <w:t>（四）学术成果组作品评审要点（哲学社会科学类社会调查报告和学术论文）</w:t>
      </w:r>
    </w:p>
    <w:tbl>
      <w:tblPr>
        <w:tblStyle w:val="9"/>
        <w:tblW w:w="0" w:type="auto"/>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6"/>
        <w:gridCol w:w="7512"/>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1" w:hRule="atLeast"/>
        </w:trPr>
        <w:tc>
          <w:tcPr>
            <w:tcW w:w="1646"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2"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7"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是否有新的见解</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是否填补某一领域空白</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科学性和先进性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考虑报告或论文的研究方法合理性</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考虑报告或论文结论的学术价值、理论水平</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考虑报告或论文是否处于该领域的前沿位置</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实用性</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考虑论文和报告的实际运用价值</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考虑论文和报告的现实社会意义</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40"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逻辑论证</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立论清晰、主题明确</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论据充分、科学可靠 </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 xml:space="preserve">分析全面、推论合理、逻辑性强 </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数据处理与研究方法先进可靠</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结论准确、严密</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文字表述</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文字表达精炼流畅，用词准确，主题突出</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1646"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研究价值</w:t>
            </w:r>
          </w:p>
        </w:tc>
        <w:tc>
          <w:tcPr>
            <w:tcW w:w="7512"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可否进行一步研究</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对现状的改变的必要性大小</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bl>
    <w:p>
      <w:pPr>
        <w:tabs>
          <w:tab w:val="left" w:pos="1980"/>
        </w:tabs>
        <w:rPr>
          <w:sz w:val="30"/>
          <w:lang w:eastAsia="zh-CN"/>
        </w:rPr>
        <w:sectPr>
          <w:footerReference r:id="rId3" w:type="default"/>
          <w:pgSz w:w="11910" w:h="16840"/>
          <w:pgMar w:top="1200" w:right="800" w:bottom="1100" w:left="800" w:header="0" w:footer="902" w:gutter="0"/>
          <w:cols w:space="720" w:num="1"/>
        </w:sectPr>
      </w:pPr>
    </w:p>
    <w:p>
      <w:pPr>
        <w:pStyle w:val="3"/>
        <w:spacing w:before="0" w:line="360" w:lineRule="auto"/>
        <w:ind w:left="0" w:firstLine="321" w:firstLineChars="100"/>
        <w:rPr>
          <w:rFonts w:cs="Times New Roman"/>
          <w:b/>
          <w:kern w:val="2"/>
          <w:lang w:eastAsia="zh-CN"/>
        </w:rPr>
      </w:pPr>
      <w:r>
        <w:rPr>
          <w:rFonts w:hint="eastAsia" w:cs="Times New Roman"/>
          <w:b/>
          <w:kern w:val="2"/>
          <w:lang w:eastAsia="zh-CN"/>
        </w:rPr>
        <w:t>二、青年创业赛道评审标准</w:t>
      </w:r>
    </w:p>
    <w:p>
      <w:pPr>
        <w:ind w:firstLine="643" w:firstLineChars="200"/>
        <w:rPr>
          <w:rFonts w:ascii="仿宋_GB2312" w:hAnsi="Calibri" w:eastAsia="仿宋_GB2312" w:cs="Times New Roman"/>
          <w:b/>
          <w:bCs/>
          <w:kern w:val="2"/>
          <w:sz w:val="32"/>
          <w:szCs w:val="32"/>
          <w:lang w:eastAsia="zh-CN"/>
        </w:rPr>
      </w:pPr>
      <w:r>
        <w:rPr>
          <w:rFonts w:hint="eastAsia" w:ascii="仿宋_GB2312" w:hAnsi="Calibri" w:eastAsia="仿宋_GB2312" w:cs="Times New Roman"/>
          <w:b/>
          <w:bCs/>
          <w:kern w:val="2"/>
          <w:sz w:val="32"/>
          <w:szCs w:val="32"/>
          <w:lang w:eastAsia="zh-CN"/>
        </w:rPr>
        <w:t>初创组、成长组项目评审要点</w:t>
      </w:r>
    </w:p>
    <w:tbl>
      <w:tblPr>
        <w:tblStyle w:val="7"/>
        <w:tblW w:w="10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751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jc w:val="center"/>
        </w:trPr>
        <w:tc>
          <w:tcPr>
            <w:tcW w:w="1645"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3"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1.项目的想象力和创造力，就发现的问题和解决途径进行创意设计，创意设计过程符合客观规律。</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2.科技创意证据充分，有足够的科学研究参与度(调查、实验、制作、验证等)。</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3.文化创意逻辑清晰、完整，调研和分析数据充分。</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实践性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1.项目的可行性、应用性和完整性。</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2.项目具备可执行的计划或实践方案。</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3.项目具有可预见价值，能够让未来的生活更美好。</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自主性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1.项目符合团队成员年龄段的知识结构和实施项目能力。</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2.项目选题、创意模式构建主要由学生提出和完成。</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3.团队成员能够准确表述项目内容及原理，真实可信。</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4.涉及科技成果和专利发明的，需提供证明材料或授权证明材料。</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团队情况</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1.团队成员的创新精神和创新意识与能力。</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2.项目团队成员的教育背景、基本素质、价值观念、知识结构、擅长领域。</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3.团队构成和分工协作合理。</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bl>
    <w:p>
      <w:pPr>
        <w:pStyle w:val="2"/>
        <w:rPr>
          <w:lang w:eastAsia="zh-CN"/>
        </w:rPr>
      </w:pPr>
    </w:p>
    <w:p>
      <w:pPr>
        <w:autoSpaceDE/>
        <w:autoSpaceDN/>
        <w:spacing w:line="596" w:lineRule="exact"/>
        <w:ind w:firstLine="321" w:firstLineChars="100"/>
        <w:jc w:val="both"/>
        <w:rPr>
          <w:rFonts w:ascii="黑体" w:hAnsi="黑体" w:eastAsia="黑体" w:cs="Times New Roman"/>
          <w:b/>
          <w:kern w:val="2"/>
          <w:sz w:val="32"/>
          <w:szCs w:val="32"/>
          <w:lang w:eastAsia="zh-CN"/>
        </w:rPr>
      </w:pPr>
      <w:r>
        <w:rPr>
          <w:rFonts w:hint="eastAsia" w:ascii="黑体" w:hAnsi="黑体" w:eastAsia="黑体" w:cs="Times New Roman"/>
          <w:b/>
          <w:kern w:val="2"/>
          <w:sz w:val="32"/>
          <w:szCs w:val="32"/>
          <w:lang w:eastAsia="zh-CN"/>
        </w:rPr>
        <w:t>三、社会公益赛道评审标准</w:t>
      </w:r>
    </w:p>
    <w:p>
      <w:pPr>
        <w:pStyle w:val="3"/>
        <w:spacing w:before="0" w:line="360" w:lineRule="auto"/>
        <w:ind w:left="0" w:firstLine="321" w:firstLineChars="100"/>
        <w:jc w:val="both"/>
        <w:rPr>
          <w:rFonts w:ascii="仿宋_GB2312" w:hAnsi="Calibri" w:eastAsia="仿宋_GB2312" w:cs="Times New Roman"/>
          <w:b/>
          <w:bCs/>
          <w:kern w:val="2"/>
          <w:lang w:eastAsia="zh-CN"/>
        </w:rPr>
      </w:pPr>
      <w:r>
        <w:rPr>
          <w:rFonts w:hint="eastAsia" w:ascii="仿宋_GB2312" w:hAnsi="Calibri" w:eastAsia="仿宋_GB2312" w:cs="Times New Roman"/>
          <w:b/>
          <w:bCs/>
          <w:kern w:val="2"/>
          <w:lang w:eastAsia="zh-CN"/>
        </w:rPr>
        <w:t>（一）实践组项目评审要点</w:t>
      </w:r>
    </w:p>
    <w:tbl>
      <w:tblPr>
        <w:tblStyle w:val="7"/>
        <w:tblW w:w="10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751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jc w:val="center"/>
        </w:trPr>
        <w:tc>
          <w:tcPr>
            <w:tcW w:w="1645"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3"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项目团队</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1.团队成员的基本素质、业务能力、奉献意愿和价值观与项目需求相匹配。</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2.团队的组织架构与分工协作合理。</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3.团队权益结构或公司股权结构合理。</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4.团队的延续性或接替性。</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公益性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1.项目以社会价值为导向，以解决社会问题为使命，不以营利为目的，有可预见的公益成果，公益受众的覆盖面广。</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2.在公益服务领域有良好产品或服务模式。</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实效性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1.项目对精准扶贫、乡村振兴和社区治理等社会问题的贡献度。</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2.在引入社会资源方面对农村组织和农民增收、地方产业结构优化等的效果。</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3.项目对促进就业、教育、医疗、养老、环境保护与生态建设等方面的效果。</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1.鼓励技术或服务创新、引入或运用新技术，鼓励高校科研成果转化。</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2.鼓励组织模式创新或进行资源整合。</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可持续性</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1.项目的持续生存能力。</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2.创新研发、生产销售、资源整合等持续运营能力。</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3.项目模式可复制、可推广、具有示范效应等。</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引领教育</w:t>
            </w:r>
          </w:p>
        </w:tc>
        <w:tc>
          <w:tcPr>
            <w:tcW w:w="7513" w:type="dxa"/>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1.项目充分体现专业教育与创新创业教育的结合，体现团队成员所学专业知识和技能在项目和相关创新创业活动中的转化与应用。</w:t>
            </w:r>
          </w:p>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2.突出大赛的育人本质，充分体现项目成长对团队成员创新精神、创业意识和创新创业能力的锻炼和提升作用。</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必要条件</w:t>
            </w:r>
          </w:p>
        </w:tc>
        <w:tc>
          <w:tcPr>
            <w:tcW w:w="8363" w:type="dxa"/>
            <w:gridSpan w:val="2"/>
            <w:vAlign w:val="center"/>
          </w:tcPr>
          <w:p>
            <w:pPr>
              <w:widowControl/>
              <w:autoSpaceDE/>
              <w:autoSpaceDN/>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参加由学校、省市或全国组织的“青年红色筑梦之旅”活动，符合公益性要求。</w:t>
            </w:r>
          </w:p>
        </w:tc>
      </w:tr>
    </w:tbl>
    <w:p>
      <w:pPr>
        <w:spacing w:line="407" w:lineRule="exact"/>
        <w:rPr>
          <w:sz w:val="30"/>
          <w:lang w:eastAsia="zh-CN"/>
        </w:rPr>
        <w:sectPr>
          <w:pgSz w:w="11910" w:h="16840"/>
          <w:pgMar w:top="1580" w:right="800" w:bottom="1100" w:left="800" w:header="0" w:footer="902" w:gutter="0"/>
          <w:cols w:space="720" w:num="1"/>
        </w:sectPr>
      </w:pPr>
    </w:p>
    <w:p>
      <w:pPr>
        <w:pStyle w:val="3"/>
        <w:spacing w:before="0" w:line="360" w:lineRule="auto"/>
        <w:ind w:left="0"/>
        <w:jc w:val="both"/>
        <w:rPr>
          <w:rFonts w:ascii="宋体" w:hAnsi="宋体" w:eastAsia="宋体" w:cs="宋体"/>
          <w:b/>
          <w:bCs/>
          <w:sz w:val="28"/>
          <w:szCs w:val="28"/>
          <w:lang w:eastAsia="zh-CN"/>
        </w:rPr>
      </w:pPr>
      <w:r>
        <w:rPr>
          <w:rFonts w:hint="eastAsia" w:ascii="宋体" w:hAnsi="宋体" w:eastAsia="宋体" w:cs="宋体"/>
          <w:b/>
          <w:bCs/>
          <w:sz w:val="28"/>
          <w:szCs w:val="28"/>
          <w:lang w:eastAsia="zh-CN"/>
        </w:rPr>
        <w:t>（二）商业组项目评审要点</w:t>
      </w:r>
    </w:p>
    <w:tbl>
      <w:tblPr>
        <w:tblStyle w:val="7"/>
        <w:tblW w:w="10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751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1645"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评审要点</w:t>
            </w:r>
          </w:p>
        </w:tc>
        <w:tc>
          <w:tcPr>
            <w:tcW w:w="7513"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评审内容</w:t>
            </w:r>
          </w:p>
        </w:tc>
        <w:tc>
          <w:tcPr>
            <w:tcW w:w="850" w:type="dxa"/>
            <w:vAlign w:val="center"/>
          </w:tcPr>
          <w:p>
            <w:pPr>
              <w:widowControl/>
              <w:autoSpaceDE/>
              <w:autoSpaceDN/>
              <w:jc w:val="center"/>
              <w:textAlignment w:val="center"/>
              <w:rPr>
                <w:rFonts w:ascii="仿宋_GB2312" w:hAnsi="宋体" w:eastAsia="仿宋_GB2312" w:cs="宋体"/>
                <w:b/>
                <w:bCs/>
                <w:color w:val="000000"/>
                <w:sz w:val="21"/>
                <w:szCs w:val="21"/>
                <w:lang w:eastAsia="zh-CN" w:bidi="ar"/>
              </w:rPr>
            </w:pPr>
            <w:r>
              <w:rPr>
                <w:rFonts w:hint="eastAsia" w:ascii="仿宋_GB2312" w:hAnsi="宋体" w:eastAsia="仿宋_GB2312" w:cs="宋体"/>
                <w:b/>
                <w:bCs/>
                <w:color w:val="000000"/>
                <w:sz w:val="21"/>
                <w:szCs w:val="21"/>
                <w:lang w:eastAsia="zh-CN" w:bidi="ar"/>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项目团队</w:t>
            </w:r>
          </w:p>
        </w:tc>
        <w:tc>
          <w:tcPr>
            <w:tcW w:w="7513" w:type="dxa"/>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1.团队成员的基本素质、业务能力、奉献意愿和价值观与项目需求相匹配。</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2.团队的组织架构与分工协作合理。</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3.团队权益结构或公司股权结构合理。</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实效性</w:t>
            </w:r>
          </w:p>
        </w:tc>
        <w:tc>
          <w:tcPr>
            <w:tcW w:w="7513" w:type="dxa"/>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1.项目商业模式设计完整、可行，产品或服务对精准扶贫、乡村振兴和社区治理等社会问题的贡献度。</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2.在引入社会资源方面对农村组织和农民增收、地方产业结构优化的效果。</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3.项目对促进文化、教育、医疗、养老、环境保护与生态建设等方面的效果。</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4.项目的成长性与区域经济发展、产业转型升级相结合。</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创新性</w:t>
            </w:r>
          </w:p>
        </w:tc>
        <w:tc>
          <w:tcPr>
            <w:tcW w:w="7513" w:type="dxa"/>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1.鼓励技术或服务创新、引入或运用新技术，鼓励高校科研成果转化。</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2.鼓励在生产、服务、营销等方面创新。</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3.鼓励组织模式创新或进行资源整合。</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可持续性</w:t>
            </w:r>
          </w:p>
        </w:tc>
        <w:tc>
          <w:tcPr>
            <w:tcW w:w="7513" w:type="dxa"/>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1.项目的持续生存能力。</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2.经济价值和社会价值适度融合。</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3.创新研发、生产销售、资源整合等持续运营能力。</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4.项目模式可复制、可推广，具有示范效应。</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带动就业</w:t>
            </w:r>
          </w:p>
        </w:tc>
        <w:tc>
          <w:tcPr>
            <w:tcW w:w="7513" w:type="dxa"/>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1.项目直接提供就业岗位的数量和质量。</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2.项目间接带动就业的能力和规模。</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引领教育</w:t>
            </w:r>
          </w:p>
        </w:tc>
        <w:tc>
          <w:tcPr>
            <w:tcW w:w="7513" w:type="dxa"/>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1.项目充分体现专业教育与创新创业教育的结合，体现团队成员所学专业知识和技能在项目和相关创新创业活动中的转化与应用。</w:t>
            </w:r>
          </w:p>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2.突出大赛的育人本质，充分体现项目成长对团队成员创新精神、创业意识和创新创业能力的锻炼和提升作用。</w:t>
            </w:r>
          </w:p>
        </w:tc>
        <w:tc>
          <w:tcPr>
            <w:tcW w:w="850"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1645" w:type="dxa"/>
            <w:vAlign w:val="center"/>
          </w:tcPr>
          <w:p>
            <w:pPr>
              <w:widowControl/>
              <w:autoSpaceDE/>
              <w:autoSpaceDN/>
              <w:jc w:val="center"/>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必要条件</w:t>
            </w:r>
          </w:p>
        </w:tc>
        <w:tc>
          <w:tcPr>
            <w:tcW w:w="8363" w:type="dxa"/>
            <w:gridSpan w:val="2"/>
            <w:vAlign w:val="center"/>
          </w:tcPr>
          <w:p>
            <w:pPr>
              <w:widowControl/>
              <w:autoSpaceDE/>
              <w:autoSpaceDN/>
              <w:jc w:val="both"/>
              <w:textAlignment w:val="center"/>
              <w:rPr>
                <w:rFonts w:ascii="仿宋_GB2312" w:hAnsi="宋体" w:eastAsia="仿宋_GB2312" w:cs="宋体"/>
                <w:color w:val="000000"/>
                <w:sz w:val="21"/>
                <w:szCs w:val="21"/>
                <w:lang w:eastAsia="zh-CN" w:bidi="ar"/>
              </w:rPr>
            </w:pPr>
            <w:r>
              <w:rPr>
                <w:rFonts w:hint="eastAsia" w:ascii="仿宋_GB2312" w:hAnsi="宋体" w:eastAsia="仿宋_GB2312" w:cs="宋体"/>
                <w:color w:val="000000"/>
                <w:sz w:val="21"/>
                <w:szCs w:val="21"/>
                <w:lang w:eastAsia="zh-CN" w:bidi="ar"/>
              </w:rPr>
              <w:t>参加由学校、省市或全国组织的“青年红色筑梦之旅”活动。</w:t>
            </w:r>
          </w:p>
        </w:tc>
      </w:tr>
    </w:tbl>
    <w:p>
      <w:pPr>
        <w:rPr>
          <w:rFonts w:ascii="黑体" w:hAnsi="黑体" w:eastAsia="黑体" w:cs="黑体"/>
          <w:sz w:val="41"/>
          <w:szCs w:val="32"/>
          <w:lang w:eastAsia="zh-CN"/>
        </w:rPr>
      </w:pPr>
    </w:p>
    <w:sectPr>
      <w:pgSz w:w="11910" w:h="16840"/>
      <w:pgMar w:top="2098" w:right="1474" w:bottom="1984" w:left="1587" w:header="0" w:footer="901"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rPr>
        <w:sz w:val="20"/>
      </w:rPr>
    </w:pPr>
    <w:r>
      <w:rPr>
        <w:lang w:eastAsia="zh-CN"/>
      </w:rPr>
      <mc:AlternateContent>
        <mc:Choice Requires="wps">
          <w:drawing>
            <wp:anchor distT="0" distB="0" distL="114300" distR="114300" simplePos="0" relativeHeight="251658240" behindDoc="1" locked="0" layoutInCell="1" allowOverlap="1">
              <wp:simplePos x="0" y="0"/>
              <wp:positionH relativeFrom="page">
                <wp:posOffset>3723640</wp:posOffset>
              </wp:positionH>
              <wp:positionV relativeFrom="page">
                <wp:posOffset>9980295</wp:posOffset>
              </wp:positionV>
              <wp:extent cx="109855" cy="141605"/>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09855" cy="141605"/>
                      </a:xfrm>
                      <a:prstGeom prst="rect">
                        <a:avLst/>
                      </a:prstGeom>
                      <a:noFill/>
                      <a:ln>
                        <a:noFill/>
                      </a:ln>
                    </wps:spPr>
                    <wps:txbx>
                      <w:txbxContent>
                        <w:p>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w w:val="101"/>
                              <w:sz w:val="18"/>
                            </w:rPr>
                            <w:t>6</w:t>
                          </w:r>
                          <w:r>
                            <w:fldChar w:fldCharType="end"/>
                          </w:r>
                        </w:p>
                      </w:txbxContent>
                    </wps:txbx>
                    <wps:bodyPr lIns="0" tIns="0" rIns="0" bIns="0" upright="1"/>
                  </wps:wsp>
                </a:graphicData>
              </a:graphic>
            </wp:anchor>
          </w:drawing>
        </mc:Choice>
        <mc:Fallback>
          <w:pict>
            <v:shape id="文本框 1025" o:spid="_x0000_s1026" o:spt="202" type="#_x0000_t202" style="position:absolute;left:0pt;margin-left:293.2pt;margin-top:785.85pt;height:11.15pt;width:8.65pt;mso-position-horizontal-relative:page;mso-position-vertical-relative:page;z-index:-251658240;mso-width-relative:page;mso-height-relative:page;" filled="f" stroked="f" coordsize="21600,21600" o:gfxdata="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D0KztsAAAANAQAADwAAAAAAAAABACAAAAAiAAAAZHJzL2Rvd25yZXYueG1s&#10;UEsBAhQAFAAAAAgAh07iQJ5dStO8AQAAdAMAAA4AAAAAAAAAAQAgAAAAKgEAAGRycy9lMm9Eb2Mu&#10;eG1sUEsFBgAAAAAGAAYAWQEAAFgFAAAAAA==&#10;">
              <v:fill on="f" focussize="0,0"/>
              <v:stroke on="f"/>
              <v:imagedata o:title=""/>
              <o:lock v:ext="edit" aspectratio="f"/>
              <v:textbox inset="0mm,0mm,0mm,0mm">
                <w:txbxContent>
                  <w:p>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w w:val="101"/>
                        <w:sz w:val="18"/>
                      </w:rPr>
                      <w:t>6</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CD"/>
    <w:rsid w:val="0006387C"/>
    <w:rsid w:val="000A2AE1"/>
    <w:rsid w:val="00104624"/>
    <w:rsid w:val="00112F59"/>
    <w:rsid w:val="00155EFC"/>
    <w:rsid w:val="001B3EC5"/>
    <w:rsid w:val="003077CD"/>
    <w:rsid w:val="003B2B06"/>
    <w:rsid w:val="003E792A"/>
    <w:rsid w:val="00423065"/>
    <w:rsid w:val="005657C9"/>
    <w:rsid w:val="00565F8D"/>
    <w:rsid w:val="00654169"/>
    <w:rsid w:val="00696119"/>
    <w:rsid w:val="00743E38"/>
    <w:rsid w:val="00815578"/>
    <w:rsid w:val="0091372C"/>
    <w:rsid w:val="00A764D6"/>
    <w:rsid w:val="00AA3EB2"/>
    <w:rsid w:val="00AB54D2"/>
    <w:rsid w:val="00AC5E13"/>
    <w:rsid w:val="00AC7674"/>
    <w:rsid w:val="00AF446F"/>
    <w:rsid w:val="00B67046"/>
    <w:rsid w:val="00C9591D"/>
    <w:rsid w:val="00DA2D29"/>
    <w:rsid w:val="00DB6A75"/>
    <w:rsid w:val="00DF1F62"/>
    <w:rsid w:val="00DF5478"/>
    <w:rsid w:val="00E201B4"/>
    <w:rsid w:val="00E27654"/>
    <w:rsid w:val="00E5032B"/>
    <w:rsid w:val="00EF6FCB"/>
    <w:rsid w:val="00F573CE"/>
    <w:rsid w:val="00F65C39"/>
    <w:rsid w:val="089F2202"/>
    <w:rsid w:val="0A0C0AFB"/>
    <w:rsid w:val="1080412A"/>
    <w:rsid w:val="11D331D2"/>
    <w:rsid w:val="2BFF5374"/>
    <w:rsid w:val="2C583D22"/>
    <w:rsid w:val="53ED0DDC"/>
    <w:rsid w:val="71025406"/>
    <w:rsid w:val="7CE8454C"/>
    <w:rsid w:val="7DC00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等线" w:hAnsi="等线" w:eastAsia="等线" w:cs="等线"/>
      <w:sz w:val="22"/>
      <w:szCs w:val="22"/>
      <w:lang w:val="en-US" w:eastAsia="en-US" w:bidi="ar-SA"/>
    </w:rPr>
  </w:style>
  <w:style w:type="paragraph" w:styleId="2">
    <w:name w:val="heading 1"/>
    <w:basedOn w:val="1"/>
    <w:next w:val="1"/>
    <w:qFormat/>
    <w:uiPriority w:val="9"/>
    <w:pPr>
      <w:spacing w:before="1"/>
      <w:ind w:left="361"/>
      <w:outlineLvl w:val="0"/>
    </w:pPr>
    <w:rPr>
      <w:rFonts w:ascii="黑体" w:hAnsi="黑体" w:eastAsia="黑体" w:cs="黑体"/>
      <w:sz w:val="36"/>
      <w:szCs w:val="36"/>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pPr>
      <w:spacing w:before="40"/>
      <w:ind w:left="1000"/>
    </w:pPr>
    <w:rPr>
      <w:rFonts w:ascii="黑体" w:hAnsi="黑体" w:eastAsia="黑体" w:cs="黑体"/>
      <w:sz w:val="32"/>
      <w:szCs w:val="32"/>
    </w:r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页眉 Char"/>
    <w:basedOn w:val="8"/>
    <w:link w:val="5"/>
    <w:qFormat/>
    <w:uiPriority w:val="99"/>
    <w:rPr>
      <w:rFonts w:ascii="等线" w:hAnsi="等线" w:eastAsia="等线" w:cs="等线"/>
      <w:sz w:val="18"/>
      <w:szCs w:val="18"/>
    </w:rPr>
  </w:style>
  <w:style w:type="character" w:customStyle="1" w:styleId="13">
    <w:name w:val="页脚 Char"/>
    <w:basedOn w:val="8"/>
    <w:link w:val="4"/>
    <w:qFormat/>
    <w:uiPriority w:val="99"/>
    <w:rPr>
      <w:rFonts w:ascii="等线" w:hAnsi="等线" w:eastAsia="等线" w:cs="等线"/>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2929</Words>
  <Characters>391</Characters>
  <Lines>3</Lines>
  <Paragraphs>6</Paragraphs>
  <TotalTime>26</TotalTime>
  <ScaleCrop>false</ScaleCrop>
  <LinksUpToDate>false</LinksUpToDate>
  <CharactersWithSpaces>3314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2021-01-11T02:32:00Z</dcterms:created>
  <dc:creator>shijinpeng</dc:creator>
  <cp:lastModifiedBy>若风</cp:lastModifiedBy>
  <dcterms:modified xsi:type="dcterms:W3CDTF">2021-03-27T07:03:12Z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Acrobat PDFMaker 19 Word 版</vt:lpwstr>
  </property>
  <property fmtid="{D5CDD505-2E9C-101B-9397-08002B2CF9AE}" pid="4" name="LastSaved">
    <vt:filetime>2021-01-11T00:00:00Z</vt:filetime>
  </property>
  <property fmtid="{D5CDD505-2E9C-101B-9397-08002B2CF9AE}" pid="5" name="KSOProductBuildVer">
    <vt:lpwstr>2052-11.1.0.10314</vt:lpwstr>
  </property>
</Properties>
</file>