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Microsoft YaHei" w:hAnsi="Microsoft YaHei" w:eastAsia="Microsoft YaHei"/>
          <w:b/>
          <w:color w:val="F97316"/>
          <w:sz w:val="24"/>
        </w:rPr>
        <w:t>世界杯预测项目</w:t>
      </w:r>
    </w:p>
    <w:p>
      <w:pPr>
        <w:spacing w:after="80"/>
      </w:pPr>
      <w:r>
        <w:rPr>
          <w:rFonts w:ascii="Microsoft YaHei" w:hAnsi="Microsoft YaHei" w:eastAsia="Microsoft YaHei"/>
          <w:b/>
          <w:color w:val="172033"/>
          <w:sz w:val="52"/>
        </w:rPr>
        <w:t>最终落地交付报告</w:t>
      </w:r>
    </w:p>
    <w:p>
      <w:pPr>
        <w:spacing w:after="240"/>
      </w:pPr>
      <w:r>
        <w:rPr>
          <w:rFonts w:ascii="Microsoft YaHei" w:hAnsi="Microsoft YaHei" w:eastAsia="Microsoft YaHei"/>
          <w:b w:val="0"/>
          <w:color w:val="64748B"/>
          <w:sz w:val="21"/>
        </w:rPr>
        <w:t>本地研究模拟系统 v1.0 · 2026-06-06 · 90 分钟赛果口径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072"/>
            <w:shd w:fill="FFF7ED"/>
            <w:tcBorders>
              <w:top w:val="single" w:sz="6" w:space="0" w:color="FDBA74"/>
              <w:left w:val="single" w:sz="6" w:space="0" w:color="FDBA74"/>
              <w:bottom w:val="single" w:sz="6" w:space="0" w:color="FDBA74"/>
              <w:right w:val="single" w:sz="6" w:space="0" w:color="FDBA74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F97316"/>
                <w:sz w:val="22"/>
              </w:rPr>
              <w:t>交付结论：</w:t>
            </w:r>
            <w:r>
              <w:rPr>
                <w:rFonts w:ascii="Microsoft YaHei" w:hAnsi="Microsoft YaHei" w:eastAsia="Microsoft YaHei"/>
                <w:b w:val="0"/>
                <w:color w:val="172033"/>
                <w:sz w:val="21"/>
              </w:rPr>
              <w:t>项目可以作为本地研究模拟系统落地使用；正式盈利/下注模型尚未通过校准，正式 EV 继续关闭。</w:t>
            </w:r>
          </w:p>
        </w:tc>
      </w:tr>
    </w:tbl>
    <w:p/>
    <w:p>
      <w:r>
        <w:rPr>
          <w:rFonts w:ascii="Microsoft YaHei" w:hAnsi="Microsoft YaHei" w:eastAsia="Microsoft YaHei"/>
          <w:b w:val="0"/>
          <w:color w:val="172033"/>
          <w:sz w:val="20"/>
        </w:rPr>
        <w:t>日期：2026-06-06</w:t>
      </w:r>
    </w:p>
    <w:p>
      <w:r>
        <w:rPr>
          <w:rFonts w:ascii="Microsoft YaHei" w:hAnsi="Microsoft YaHei" w:eastAsia="Microsoft YaHei"/>
          <w:b w:val="0"/>
          <w:color w:val="172033"/>
          <w:sz w:val="20"/>
        </w:rPr>
        <w:t>项目名：世界杯预测</w:t>
      </w:r>
    </w:p>
    <w:p>
      <w:r>
        <w:rPr>
          <w:rFonts w:ascii="Microsoft YaHei" w:hAnsi="Microsoft YaHei" w:eastAsia="Microsoft YaHei"/>
          <w:b w:val="0"/>
          <w:color w:val="172033"/>
          <w:sz w:val="20"/>
        </w:rPr>
        <w:t>运行方式：电脑本地运行</w:t>
      </w:r>
    </w:p>
    <w:p>
      <w:r>
        <w:rPr>
          <w:rFonts w:ascii="Microsoft YaHei" w:hAnsi="Microsoft YaHei" w:eastAsia="Microsoft YaHei"/>
          <w:b w:val="0"/>
          <w:color w:val="172033"/>
          <w:sz w:val="20"/>
        </w:rPr>
        <w:t>预测口径：90 分钟赛果</w:t>
      </w:r>
    </w:p>
    <w:p>
      <w:r>
        <w:rPr>
          <w:rFonts w:ascii="Microsoft YaHei" w:hAnsi="Microsoft YaHei" w:eastAsia="Microsoft YaHei"/>
          <w:b w:val="0"/>
          <w:color w:val="172033"/>
          <w:sz w:val="20"/>
        </w:rPr>
        <w:t>当前交付版本：本地研究模拟系统 v1.0</w:t>
      </w:r>
    </w:p>
    <w:p>
      <w:pPr>
        <w:pStyle w:val="Heading1"/>
      </w:pPr>
      <w:r>
        <w:t>一、交付结论</w:t>
      </w:r>
    </w:p>
    <w:p>
      <w:r>
        <w:rPr>
          <w:rFonts w:ascii="Microsoft YaHei" w:hAnsi="Microsoft YaHei" w:eastAsia="Microsoft YaHei"/>
          <w:b w:val="0"/>
          <w:color w:val="172033"/>
          <w:sz w:val="20"/>
        </w:rPr>
        <w:t>本项目当前可以作为“可长期使用的本地研究模拟系统”交付。</w:t>
      </w:r>
    </w:p>
    <w:p>
      <w:r>
        <w:rPr>
          <w:rFonts w:ascii="Microsoft YaHei" w:hAnsi="Microsoft YaHei" w:eastAsia="Microsoft YaHei"/>
          <w:b w:val="0"/>
          <w:color w:val="172033"/>
          <w:sz w:val="20"/>
        </w:rPr>
        <w:t>可交付内容包括：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本地网页工作台；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API-Football 自动取数；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单场赛前分析；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多场批量分析；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数据处理复核；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模型审计；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赛后复盘；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中文 Excel / PDF 报告导出；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本地 SQLite 长期留档；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双击启动和停止；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每日批量建库入口；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模拟舱研究账本和赛果同步。</w:t>
      </w:r>
    </w:p>
    <w:p>
      <w:r>
        <w:rPr>
          <w:rFonts w:ascii="Microsoft YaHei" w:hAnsi="Microsoft YaHei" w:eastAsia="Microsoft YaHei"/>
          <w:b w:val="0"/>
          <w:color w:val="172033"/>
          <w:sz w:val="20"/>
        </w:rPr>
        <w:t>但当前不能作为“已经验证可盈利的正式下注模型”交付。</w:t>
      </w:r>
    </w:p>
    <w:p>
      <w:r>
        <w:rPr>
          <w:rFonts w:ascii="Microsoft YaHei" w:hAnsi="Microsoft YaHei" w:eastAsia="Microsoft YaHei"/>
          <w:b w:val="0"/>
          <w:color w:val="172033"/>
          <w:sz w:val="20"/>
        </w:rPr>
        <w:t>原因是：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`pfinal` 尚未批准；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正式 EV 仍关闭；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合格赛前已结算样本只有 `15 / 100`；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大小球和让球的比分矩阵层仍需单独校准；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当前 EV 候选复盘仍出现高 EV 亏损，说明不能放开正式资金占用。</w:t>
      </w:r>
    </w:p>
    <w:p>
      <w:r>
        <w:rPr>
          <w:rFonts w:ascii="Microsoft YaHei" w:hAnsi="Microsoft YaHei" w:eastAsia="Microsoft YaHei"/>
          <w:b w:val="0"/>
          <w:color w:val="172033"/>
          <w:sz w:val="20"/>
        </w:rPr>
        <w:t>因此，本版本的正确定位是：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0F172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Consolas" w:hAnsi="Consolas" w:eastAsia="Microsoft YaHei"/>
                <w:color w:val="E2E8F0"/>
                <w:sz w:val="19"/>
              </w:rPr>
              <w:t>可以落地使用，用于赛前研究、数据积累、模型审计、复盘和模拟舱观察；</w:t>
            </w:r>
            <w:r>
              <w:br/>
            </w:r>
            <w:r>
              <w:rPr>
                <w:rFonts w:ascii="Consolas" w:hAnsi="Consolas" w:eastAsia="Microsoft YaHei"/>
                <w:color w:val="E2E8F0"/>
                <w:sz w:val="19"/>
              </w:rPr>
              <w:t>不能宣传为稳定盈利模型，不能自动产生正式下注指令。</w:t>
            </w:r>
          </w:p>
        </w:tc>
      </w:tr>
    </w:tbl>
    <w:p>
      <w:pPr>
        <w:pStyle w:val="Heading1"/>
      </w:pPr>
      <w:r>
        <w:t>二、当前项目状态</w:t>
      </w:r>
    </w:p>
    <w:p>
      <w:pPr>
        <w:pStyle w:val="Heading2"/>
      </w:pPr>
      <w:r>
        <w:t>2.1 本地数据覆盖</w:t>
      </w:r>
    </w:p>
    <w:p>
      <w:r>
        <w:rPr>
          <w:rFonts w:ascii="Microsoft YaHei" w:hAnsi="Microsoft YaHei" w:eastAsia="Microsoft YaHei"/>
          <w:b w:val="0"/>
          <w:color w:val="172033"/>
          <w:sz w:val="20"/>
        </w:rPr>
        <w:t>截至 2026-06-06，本地库统计：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F1F5F9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172033"/>
                <w:sz w:val="18"/>
              </w:rPr>
              <w:t>项目</w:t>
            </w:r>
          </w:p>
        </w:tc>
        <w:tc>
          <w:tcPr>
            <w:tcW w:type="dxa" w:w="4939"/>
            <w:shd w:fill="F1F5F9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172033"/>
                <w:sz w:val="18"/>
              </w:rPr>
              <w:t>数量</w:t>
            </w:r>
          </w:p>
        </w:tc>
      </w:tr>
      <w:tr>
        <w:tc>
          <w:tcPr>
            <w:tcW w:type="dxa" w:w="4939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预测记录</w:t>
            </w:r>
          </w:p>
        </w:tc>
        <w:tc>
          <w:tcPr>
            <w:tcW w:type="dxa" w:w="4939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164</w:t>
            </w:r>
          </w:p>
        </w:tc>
      </w:tr>
      <w:tr>
        <w:tc>
          <w:tcPr>
            <w:tcW w:type="dxa" w:w="4939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API 原始快照</w:t>
            </w:r>
          </w:p>
        </w:tc>
        <w:tc>
          <w:tcPr>
            <w:tcW w:type="dxa" w:w="4939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114</w:t>
            </w:r>
          </w:p>
        </w:tc>
      </w:tr>
      <w:tr>
        <w:tc>
          <w:tcPr>
            <w:tcW w:type="dxa" w:w="4939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结构化赔率报价</w:t>
            </w:r>
          </w:p>
        </w:tc>
        <w:tc>
          <w:tcPr>
            <w:tcW w:type="dxa" w:w="4939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1897</w:t>
            </w:r>
          </w:p>
        </w:tc>
      </w:tr>
      <w:tr>
        <w:tc>
          <w:tcPr>
            <w:tcW w:type="dxa" w:w="4939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Pinnacle 报价</w:t>
            </w:r>
          </w:p>
        </w:tc>
        <w:tc>
          <w:tcPr>
            <w:tcW w:type="dxa" w:w="4939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1529</w:t>
            </w:r>
          </w:p>
        </w:tc>
      </w:tr>
      <w:tr>
        <w:tc>
          <w:tcPr>
            <w:tcW w:type="dxa" w:w="4939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有赔率时点快照</w:t>
            </w:r>
          </w:p>
        </w:tc>
        <w:tc>
          <w:tcPr>
            <w:tcW w:type="dxa" w:w="4939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47</w:t>
            </w:r>
          </w:p>
        </w:tc>
      </w:tr>
      <w:tr>
        <w:tc>
          <w:tcPr>
            <w:tcW w:type="dxa" w:w="4939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合格赛前快照</w:t>
            </w:r>
          </w:p>
        </w:tc>
        <w:tc>
          <w:tcPr>
            <w:tcW w:type="dxa" w:w="4939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43</w:t>
            </w:r>
          </w:p>
        </w:tc>
      </w:tr>
      <w:tr>
        <w:tc>
          <w:tcPr>
            <w:tcW w:type="dxa" w:w="4939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已保存 90 分钟赛果</w:t>
            </w:r>
          </w:p>
        </w:tc>
        <w:tc>
          <w:tcPr>
            <w:tcW w:type="dxa" w:w="4939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20</w:t>
            </w:r>
          </w:p>
        </w:tc>
      </w:tr>
      <w:tr>
        <w:tc>
          <w:tcPr>
            <w:tcW w:type="dxa" w:w="4939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批量分析批次</w:t>
            </w:r>
          </w:p>
        </w:tc>
        <w:tc>
          <w:tcPr>
            <w:tcW w:type="dxa" w:w="4939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7</w:t>
            </w:r>
          </w:p>
        </w:tc>
      </w:tr>
      <w:tr>
        <w:tc>
          <w:tcPr>
            <w:tcW w:type="dxa" w:w="4939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模拟舱正式账本记录</w:t>
            </w:r>
          </w:p>
        </w:tc>
        <w:tc>
          <w:tcPr>
            <w:tcW w:type="dxa" w:w="4939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0</w:t>
            </w:r>
          </w:p>
        </w:tc>
      </w:tr>
    </w:tbl>
    <w:p/>
    <w:p>
      <w:r>
        <w:rPr>
          <w:rFonts w:ascii="Microsoft YaHei" w:hAnsi="Microsoft YaHei" w:eastAsia="Microsoft YaHei"/>
          <w:b w:val="0"/>
          <w:color w:val="172033"/>
          <w:sz w:val="20"/>
        </w:rPr>
        <w:t xml:space="preserve">模拟舱账本为 </w:t>
      </w:r>
      <w:r>
        <w:rPr>
          <w:rFonts w:ascii="Consolas" w:hAnsi="Consolas" w:eastAsia="Microsoft YaHei"/>
          <w:color w:val="F97316"/>
          <w:sz w:val="18"/>
        </w:rPr>
        <w:t>0</w:t>
      </w:r>
      <w:r>
        <w:rPr>
          <w:rFonts w:ascii="Microsoft YaHei" w:hAnsi="Microsoft YaHei" w:eastAsia="Microsoft YaHei"/>
          <w:b w:val="0"/>
          <w:color w:val="172033"/>
          <w:sz w:val="20"/>
        </w:rPr>
        <w:t xml:space="preserve"> 是正确状态，因为正式 EV 尚未开放，系统没有写入虚假买入记录。</w:t>
      </w:r>
    </w:p>
    <w:p>
      <w:pPr>
        <w:pStyle w:val="Heading2"/>
      </w:pPr>
      <w:r>
        <w:t>2.2 模型验收状态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  <w:shd w:fill="F1F5F9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172033"/>
                <w:sz w:val="18"/>
              </w:rPr>
              <w:t>项目</w:t>
            </w:r>
          </w:p>
        </w:tc>
        <w:tc>
          <w:tcPr>
            <w:tcW w:type="dxa" w:w="2469"/>
            <w:shd w:fill="F1F5F9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172033"/>
                <w:sz w:val="18"/>
              </w:rPr>
              <w:t>当前值</w:t>
            </w:r>
          </w:p>
        </w:tc>
        <w:tc>
          <w:tcPr>
            <w:tcW w:type="dxa" w:w="2469"/>
            <w:shd w:fill="F1F5F9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172033"/>
                <w:sz w:val="18"/>
              </w:rPr>
              <w:t>验收要求</w:t>
            </w:r>
          </w:p>
        </w:tc>
        <w:tc>
          <w:tcPr>
            <w:tcW w:type="dxa" w:w="2469"/>
            <w:shd w:fill="F1F5F9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172033"/>
                <w:sz w:val="18"/>
              </w:rPr>
              <w:t>状态</w:t>
            </w:r>
          </w:p>
        </w:tc>
      </w:tr>
      <w:tr>
        <w:tc>
          <w:tcPr>
            <w:tcW w:type="dxa" w:w="2469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合格赛前样本</w:t>
            </w:r>
          </w:p>
        </w:tc>
        <w:tc>
          <w:tcPr>
            <w:tcW w:type="dxa" w:w="2469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15</w:t>
            </w:r>
          </w:p>
        </w:tc>
        <w:tc>
          <w:tcPr>
            <w:tcW w:type="dxa" w:w="2469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100</w:t>
            </w:r>
          </w:p>
        </w:tc>
        <w:tc>
          <w:tcPr>
            <w:tcW w:type="dxa" w:w="2469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不通过</w:t>
            </w:r>
          </w:p>
        </w:tc>
      </w:tr>
      <w:tr>
        <w:tc>
          <w:tcPr>
            <w:tcW w:type="dxa" w:w="2469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独立比赛数量</w:t>
            </w:r>
          </w:p>
        </w:tc>
        <w:tc>
          <w:tcPr>
            <w:tcW w:type="dxa" w:w="2469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15</w:t>
            </w:r>
          </w:p>
        </w:tc>
        <w:tc>
          <w:tcPr>
            <w:tcW w:type="dxa" w:w="2469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100</w:t>
            </w:r>
          </w:p>
        </w:tc>
        <w:tc>
          <w:tcPr>
            <w:tcW w:type="dxa" w:w="2469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不通过</w:t>
            </w:r>
          </w:p>
        </w:tc>
      </w:tr>
      <w:tr>
        <w:tc>
          <w:tcPr>
            <w:tcW w:type="dxa" w:w="2469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校准区间样本</w:t>
            </w:r>
          </w:p>
        </w:tc>
        <w:tc>
          <w:tcPr>
            <w:tcW w:type="dxa" w:w="2469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3</w:t>
            </w:r>
          </w:p>
        </w:tc>
        <w:tc>
          <w:tcPr>
            <w:tcW w:type="dxa" w:w="2469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20</w:t>
            </w:r>
          </w:p>
        </w:tc>
        <w:tc>
          <w:tcPr>
            <w:tcW w:type="dxa" w:w="2469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不通过</w:t>
            </w:r>
          </w:p>
        </w:tc>
      </w:tr>
      <w:tr>
        <w:tc>
          <w:tcPr>
            <w:tcW w:type="dxa" w:w="2469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验证区间样本</w:t>
            </w:r>
          </w:p>
        </w:tc>
        <w:tc>
          <w:tcPr>
            <w:tcW w:type="dxa" w:w="2469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3</w:t>
            </w:r>
          </w:p>
        </w:tc>
        <w:tc>
          <w:tcPr>
            <w:tcW w:type="dxa" w:w="2469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20</w:t>
            </w:r>
          </w:p>
        </w:tc>
        <w:tc>
          <w:tcPr>
            <w:tcW w:type="dxa" w:w="2469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不通过</w:t>
            </w:r>
          </w:p>
        </w:tc>
      </w:tr>
      <w:tr>
        <w:tc>
          <w:tcPr>
            <w:tcW w:type="dxa" w:w="2469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`pfinal`</w:t>
            </w:r>
          </w:p>
        </w:tc>
        <w:tc>
          <w:tcPr>
            <w:tcW w:type="dxa" w:w="2469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未批准</w:t>
            </w:r>
          </w:p>
        </w:tc>
        <w:tc>
          <w:tcPr>
            <w:tcW w:type="dxa" w:w="2469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已批准</w:t>
            </w:r>
          </w:p>
        </w:tc>
        <w:tc>
          <w:tcPr>
            <w:tcW w:type="dxa" w:w="2469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不通过</w:t>
            </w:r>
          </w:p>
        </w:tc>
      </w:tr>
      <w:tr>
        <w:tc>
          <w:tcPr>
            <w:tcW w:type="dxa" w:w="2469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正式 EV</w:t>
            </w:r>
          </w:p>
        </w:tc>
        <w:tc>
          <w:tcPr>
            <w:tcW w:type="dxa" w:w="2469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关闭</w:t>
            </w:r>
          </w:p>
        </w:tc>
        <w:tc>
          <w:tcPr>
            <w:tcW w:type="dxa" w:w="2469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开启需审批</w:t>
            </w:r>
          </w:p>
        </w:tc>
        <w:tc>
          <w:tcPr>
            <w:tcW w:type="dxa" w:w="2469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保持关闭</w:t>
            </w:r>
          </w:p>
        </w:tc>
      </w:tr>
    </w:tbl>
    <w:p/>
    <w:p>
      <w:r>
        <w:rPr>
          <w:rFonts w:ascii="Microsoft YaHei" w:hAnsi="Microsoft YaHei" w:eastAsia="Microsoft YaHei"/>
          <w:b w:val="0"/>
          <w:color w:val="172033"/>
          <w:sz w:val="20"/>
        </w:rPr>
        <w:t xml:space="preserve">验证区当前仅有 3 场，不能形成稳定结论。当前 </w:t>
      </w:r>
      <w:r>
        <w:rPr>
          <w:rFonts w:ascii="Consolas" w:hAnsi="Consolas" w:eastAsia="Microsoft YaHei"/>
          <w:color w:val="F97316"/>
          <w:sz w:val="18"/>
        </w:rPr>
        <w:t>pshr</w:t>
      </w:r>
      <w:r>
        <w:rPr>
          <w:rFonts w:ascii="Microsoft YaHei" w:hAnsi="Microsoft YaHei" w:eastAsia="Microsoft YaHei"/>
          <w:b w:val="0"/>
          <w:color w:val="172033"/>
          <w:sz w:val="20"/>
        </w:rPr>
        <w:t xml:space="preserve"> 未显著优于市场基准，正式 EV 不具备开放条件。</w:t>
      </w:r>
    </w:p>
    <w:p>
      <w:pPr>
        <w:pStyle w:val="Heading1"/>
      </w:pPr>
      <w:r>
        <w:t>三、已落地功能</w:t>
      </w:r>
    </w:p>
    <w:p>
      <w:pPr>
        <w:pStyle w:val="Heading2"/>
      </w:pPr>
      <w:r>
        <w:t>3.1 赛前预测工作台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输入球队或比赛 ID；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搜索 API-Football 赛前比赛；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今日甲级联赛赛程选择；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随机抽取今日赛前比赛；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指定 fixture_id 批量分析；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只允许尚未开赛比赛形成预测快照。</w:t>
      </w:r>
    </w:p>
    <w:p>
      <w:pPr>
        <w:pStyle w:val="Heading2"/>
      </w:pPr>
      <w:r>
        <w:t>3.2 数据抓取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默认深度模式；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获取 fixture、league、team、venue；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获取双方近 10 场比赛；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双方各至少 5 场有效 90 分钟比赛才具备研究准入；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深度模式补充历史比赛技术统计和事件；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获取优先级庄家全场盘口；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保存原始 API 快照。</w:t>
      </w:r>
    </w:p>
    <w:p>
      <w:pPr>
        <w:pStyle w:val="Heading2"/>
      </w:pPr>
      <w:r>
        <w:t>3.3 盘口规则</w:t>
      </w:r>
    </w:p>
    <w:p>
      <w:r>
        <w:rPr>
          <w:rFonts w:ascii="Microsoft YaHei" w:hAnsi="Microsoft YaHei" w:eastAsia="Microsoft YaHei"/>
          <w:b w:val="0"/>
          <w:color w:val="172033"/>
          <w:sz w:val="20"/>
        </w:rPr>
        <w:t>默认庄家优先级：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0F172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Consolas" w:hAnsi="Consolas" w:eastAsia="Microsoft YaHei"/>
                <w:color w:val="E2E8F0"/>
                <w:sz w:val="19"/>
              </w:rPr>
              <w:t>Pinnacle &gt; Bet365 &gt; Betfair &gt; SBO &gt; 10Bet &gt; 1xBet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172033"/>
          <w:sz w:val="20"/>
        </w:rPr>
        <w:t>当前规则：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胜平负必须同一家完整全场 1X2；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大小球必须同一家、同盘口线、成对全场赔率；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让球必须同一家、同盘口线、成对全场赔率；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不跨庄家拼盘口；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不使用半场、角球、卡牌等非全场市场；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水位异常会被排除；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每个市场记录实际使用庄家。</w:t>
      </w:r>
    </w:p>
    <w:p>
      <w:pPr>
        <w:pStyle w:val="Heading2"/>
      </w:pPr>
      <w:r>
        <w:t>3.4 概率与 EV 口径</w:t>
      </w:r>
    </w:p>
    <w:p>
      <w:r>
        <w:rPr>
          <w:rFonts w:ascii="Microsoft YaHei" w:hAnsi="Microsoft YaHei" w:eastAsia="Microsoft YaHei"/>
          <w:b w:val="0"/>
          <w:color w:val="172033"/>
          <w:sz w:val="20"/>
        </w:rPr>
        <w:t>胜平负：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0F172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Consolas" w:hAnsi="Consolas" w:eastAsia="Microsoft YaHei"/>
                <w:color w:val="E2E8F0"/>
                <w:sz w:val="19"/>
              </w:rPr>
              <w:t>EV = pbase(selection) * odds - 1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172033"/>
          <w:sz w:val="20"/>
        </w:rPr>
        <w:t>大小球 / 让球：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0F172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Consolas" w:hAnsi="Consolas" w:eastAsia="Microsoft YaHei"/>
                <w:color w:val="E2E8F0"/>
                <w:sz w:val="19"/>
              </w:rPr>
              <w:t>EV = 盈利注权重 * (odds - 1) - 亏损注权重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172033"/>
          <w:sz w:val="20"/>
        </w:rPr>
        <w:t>页面和报告已经区分：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胜平负：模型胜率；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大小球 / 让球：正收益概率；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正式 EV：当前未开放。</w:t>
      </w:r>
    </w:p>
    <w:p>
      <w:pPr>
        <w:pStyle w:val="Heading2"/>
      </w:pPr>
      <w:r>
        <w:t>3.5 模拟舱</w:t>
      </w:r>
    </w:p>
    <w:p>
      <w:r>
        <w:rPr>
          <w:rFonts w:ascii="Microsoft YaHei" w:hAnsi="Microsoft YaHei" w:eastAsia="Microsoft YaHei"/>
          <w:b w:val="0"/>
          <w:color w:val="172033"/>
          <w:sz w:val="20"/>
        </w:rPr>
        <w:t>资金规则已落地：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启动资金默认 1000；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动态均注按资金五等分；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盈利只按 50% 纳入后续注额；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单场多市场有占用上限；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未通过正式 EV 时资金占用为 0。</w:t>
      </w:r>
    </w:p>
    <w:p>
      <w:r>
        <w:rPr>
          <w:rFonts w:ascii="Microsoft YaHei" w:hAnsi="Microsoft YaHei" w:eastAsia="Microsoft YaHei"/>
          <w:b w:val="0"/>
          <w:color w:val="172033"/>
          <w:sz w:val="20"/>
        </w:rPr>
        <w:t>当前模拟舱状态：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0F172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Consolas" w:hAnsi="Consolas" w:eastAsia="Microsoft YaHei"/>
                <w:color w:val="E2E8F0"/>
                <w:sz w:val="19"/>
              </w:rPr>
              <w:t>研究锁定；不产生正式 PAPER_BUY；不占用资金。</w:t>
            </w:r>
          </w:p>
        </w:tc>
      </w:tr>
    </w:tbl>
    <w:p>
      <w:pPr>
        <w:pStyle w:val="Heading2"/>
      </w:pPr>
      <w:r>
        <w:t>3.6 数据处理板块</w:t>
      </w:r>
    </w:p>
    <w:p>
      <w:r>
        <w:rPr>
          <w:rFonts w:ascii="Microsoft YaHei" w:hAnsi="Microsoft YaHei" w:eastAsia="Microsoft YaHei"/>
          <w:b w:val="0"/>
          <w:color w:val="172033"/>
          <w:sz w:val="20"/>
        </w:rPr>
        <w:t>已支持：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抓取流程展示；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双方近 5–10 场有效比赛明细；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场均进球、场均失球、积分、主客场信息；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处理步骤；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特征结果；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趋势图；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赔率快照缺失时不伪造走势。</w:t>
      </w:r>
    </w:p>
    <w:p>
      <w:pPr>
        <w:pStyle w:val="Heading2"/>
      </w:pPr>
      <w:r>
        <w:t>3.7 报告与复盘</w:t>
      </w:r>
    </w:p>
    <w:p>
      <w:r>
        <w:rPr>
          <w:rFonts w:ascii="Microsoft YaHei" w:hAnsi="Microsoft YaHei" w:eastAsia="Microsoft YaHei"/>
          <w:b w:val="0"/>
          <w:color w:val="172033"/>
          <w:sz w:val="20"/>
        </w:rPr>
        <w:t>已支持：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中文 Excel 单场报告；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中文 PDF 单场报告；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历史报告列表；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赛后复盘页；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复盘 Excel；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EV 候选真实结果；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高 EV 异常分组；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比分矩阵校准审计；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模拟舱资金曲线。</w:t>
      </w:r>
    </w:p>
    <w:p>
      <w:pPr>
        <w:pStyle w:val="Heading1"/>
      </w:pPr>
      <w:r>
        <w:t>四、启动和使用</w:t>
      </w:r>
    </w:p>
    <w:p>
      <w:r>
        <w:rPr>
          <w:rFonts w:ascii="Microsoft YaHei" w:hAnsi="Microsoft YaHei" w:eastAsia="Microsoft YaHei"/>
          <w:b w:val="0"/>
          <w:color w:val="172033"/>
          <w:sz w:val="20"/>
        </w:rPr>
        <w:t>首次安装：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0F172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Consolas" w:hAnsi="Consolas" w:eastAsia="Microsoft YaHei"/>
                <w:color w:val="E2E8F0"/>
                <w:sz w:val="19"/>
              </w:rPr>
              <w:t>双击 setup_worldcup_predictor.command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172033"/>
          <w:sz w:val="20"/>
        </w:rPr>
        <w:t>启动程序：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0F172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Consolas" w:hAnsi="Consolas" w:eastAsia="Microsoft YaHei"/>
                <w:color w:val="E2E8F0"/>
                <w:sz w:val="19"/>
              </w:rPr>
              <w:t>双击 start_worldcup_predictor.command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172033"/>
          <w:sz w:val="20"/>
        </w:rPr>
        <w:t>打开页面：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0F172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Consolas" w:hAnsi="Consolas" w:eastAsia="Microsoft YaHei"/>
                <w:color w:val="E2E8F0"/>
                <w:sz w:val="19"/>
              </w:rPr>
              <w:t>http://127.0.0.1:8765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172033"/>
          <w:sz w:val="20"/>
        </w:rPr>
        <w:t>停止程序：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0F172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Consolas" w:hAnsi="Consolas" w:eastAsia="Microsoft YaHei"/>
                <w:color w:val="E2E8F0"/>
                <w:sz w:val="19"/>
              </w:rPr>
              <w:t>双击 stop_worldcup_predictor.command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172033"/>
          <w:sz w:val="20"/>
        </w:rPr>
        <w:t>每日批量建库：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0F172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Consolas" w:hAnsi="Consolas" w:eastAsia="Microsoft YaHei"/>
                <w:color w:val="E2E8F0"/>
                <w:sz w:val="19"/>
              </w:rPr>
              <w:t>双击 daily_batch_collect.command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172033"/>
          <w:sz w:val="20"/>
        </w:rPr>
        <w:t>安装每天自动批量建库：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0F172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Consolas" w:hAnsi="Consolas" w:eastAsia="Microsoft YaHei"/>
                <w:color w:val="E2E8F0"/>
                <w:sz w:val="19"/>
              </w:rPr>
              <w:t>双击 install_daily_batch.command</w:t>
            </w:r>
          </w:p>
        </w:tc>
      </w:tr>
    </w:tbl>
    <w:p>
      <w:pPr>
        <w:pStyle w:val="Heading1"/>
      </w:pPr>
      <w:r>
        <w:t>五、验收结果</w:t>
      </w:r>
    </w:p>
    <w:p>
      <w:pPr>
        <w:pStyle w:val="Heading2"/>
      </w:pPr>
      <w:r>
        <w:t>5.1 自动化测试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0F172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Consolas" w:hAnsi="Consolas" w:eastAsia="Microsoft YaHei"/>
                <w:color w:val="E2E8F0"/>
                <w:sz w:val="19"/>
              </w:rPr>
              <w:t>75 tests OK</w:t>
            </w:r>
          </w:p>
        </w:tc>
      </w:tr>
    </w:tbl>
    <w:p>
      <w:pPr>
        <w:pStyle w:val="Heading2"/>
      </w:pPr>
      <w:r>
        <w:t>5.2 语法检查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0F172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Consolas" w:hAnsi="Consolas" w:eastAsia="Microsoft YaHei"/>
                <w:color w:val="E2E8F0"/>
                <w:sz w:val="19"/>
              </w:rPr>
              <w:t>Python 模块编译通过</w:t>
            </w:r>
            <w:r>
              <w:br/>
            </w:r>
            <w:r>
              <w:rPr>
                <w:rFonts w:ascii="Consolas" w:hAnsi="Consolas" w:eastAsia="Microsoft YaHei"/>
                <w:color w:val="E2E8F0"/>
                <w:sz w:val="19"/>
              </w:rPr>
              <w:t>前端脚本语法检查通过</w:t>
            </w:r>
          </w:p>
        </w:tc>
      </w:tr>
    </w:tbl>
    <w:p>
      <w:pPr>
        <w:pStyle w:val="Heading2"/>
      </w:pPr>
      <w:r>
        <w:t>5.3 服务检查</w:t>
      </w:r>
    </w:p>
    <w:p>
      <w:r>
        <w:rPr>
          <w:rFonts w:ascii="Microsoft YaHei" w:hAnsi="Microsoft YaHei" w:eastAsia="Microsoft YaHei"/>
          <w:b w:val="0"/>
          <w:color w:val="172033"/>
          <w:sz w:val="20"/>
        </w:rPr>
        <w:t>本地服务支持：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0F172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Consolas" w:hAnsi="Consolas" w:eastAsia="Microsoft YaHei"/>
                <w:color w:val="E2E8F0"/>
                <w:sz w:val="19"/>
              </w:rPr>
              <w:t>/healthz</w:t>
            </w:r>
            <w:r>
              <w:br/>
            </w:r>
            <w:r>
              <w:rPr>
                <w:rFonts w:ascii="Consolas" w:hAnsi="Consolas" w:eastAsia="Microsoft YaHei"/>
                <w:color w:val="E2E8F0"/>
                <w:sz w:val="19"/>
              </w:rPr>
              <w:t>/api/api-status</w:t>
            </w:r>
            <w:r>
              <w:br/>
            </w:r>
            <w:r>
              <w:rPr>
                <w:rFonts w:ascii="Consolas" w:hAnsi="Consolas" w:eastAsia="Microsoft YaHei"/>
                <w:color w:val="E2E8F0"/>
                <w:sz w:val="19"/>
              </w:rPr>
              <w:t>/api/model-validation</w:t>
            </w:r>
            <w:r>
              <w:br/>
            </w:r>
            <w:r>
              <w:rPr>
                <w:rFonts w:ascii="Consolas" w:hAnsi="Consolas" w:eastAsia="Microsoft YaHei"/>
                <w:color w:val="E2E8F0"/>
                <w:sz w:val="19"/>
              </w:rPr>
              <w:t>/api/today-fixtures</w:t>
            </w:r>
          </w:p>
        </w:tc>
      </w:tr>
    </w:tbl>
    <w:p>
      <w:pPr>
        <w:pStyle w:val="Heading2"/>
      </w:pPr>
      <w:r>
        <w:t>5.4 安全边界</w:t>
      </w:r>
    </w:p>
    <w:p>
      <w:r>
        <w:rPr>
          <w:rFonts w:ascii="Microsoft YaHei" w:hAnsi="Microsoft YaHei" w:eastAsia="Microsoft YaHei"/>
          <w:b w:val="0"/>
          <w:color w:val="172033"/>
          <w:sz w:val="20"/>
        </w:rPr>
        <w:t>已确认：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页面不会默认生成演示预测；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API 模式只生成赛前快照；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赛后或开赛后比赛不会作为新预测样本；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正式 EV 未开放；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`pfinal` 未通过前不会产生正式模拟信号；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API key 不写入报告；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公网分享模式可由服务器侧密钥托管。</w:t>
      </w:r>
    </w:p>
    <w:p>
      <w:pPr>
        <w:pStyle w:val="Heading1"/>
      </w:pPr>
      <w:r>
        <w:t>六、当前不能交付的内容</w:t>
      </w:r>
    </w:p>
    <w:p>
      <w:r>
        <w:rPr>
          <w:rFonts w:ascii="Microsoft YaHei" w:hAnsi="Microsoft YaHei" w:eastAsia="Microsoft YaHei"/>
          <w:b w:val="0"/>
          <w:color w:val="172033"/>
          <w:sz w:val="20"/>
        </w:rPr>
        <w:t>以下内容不能在本版本中宣称已经完成：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不能宣称模型已经稳定盈利；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不能宣称 EV 已通过正式回测；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不能自动连接真实投注平台；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不能把研究 EV 当作正式下注建议；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不能把 15 场样本解释为足够校准；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不能把大小球 / 让球当前 EV 当作已校准信号。</w:t>
      </w:r>
    </w:p>
    <w:p>
      <w:pPr>
        <w:pStyle w:val="Heading1"/>
      </w:pPr>
      <w:r>
        <w:t>七、正式上线还差什么</w:t>
      </w:r>
    </w:p>
    <w:p>
      <w:pPr>
        <w:pStyle w:val="Heading2"/>
      </w:pPr>
      <w:r>
        <w:t>阶段 A：数据样本</w:t>
      </w:r>
    </w:p>
    <w:p>
      <w:r>
        <w:rPr>
          <w:rFonts w:ascii="Microsoft YaHei" w:hAnsi="Microsoft YaHei" w:eastAsia="Microsoft YaHei"/>
          <w:b w:val="0"/>
          <w:color w:val="172033"/>
          <w:sz w:val="20"/>
        </w:rPr>
        <w:t>目标：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合格赛前已结算样本达到 100 场以上；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每场都有明确赔率时点；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每场都有 90 分钟赛果；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每场都有 `pbase` 和 `qmkt`。</w:t>
      </w:r>
    </w:p>
    <w:p>
      <w:pPr>
        <w:pStyle w:val="Heading2"/>
      </w:pPr>
      <w:r>
        <w:t>阶段 B：胜平负校准</w:t>
      </w:r>
    </w:p>
    <w:p>
      <w:r>
        <w:rPr>
          <w:rFonts w:ascii="Microsoft YaHei" w:hAnsi="Microsoft YaHei" w:eastAsia="Microsoft YaHei"/>
          <w:b w:val="0"/>
          <w:color w:val="172033"/>
          <w:sz w:val="20"/>
        </w:rPr>
        <w:t>目标：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按时间切分开发、校准、验证；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验证 `pshr` 是否优于 `pbase`；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验证 `pshr` 是否接近或优于市场基准；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通过后再定义 `pfinal`。</w:t>
      </w:r>
    </w:p>
    <w:p>
      <w:pPr>
        <w:pStyle w:val="Heading2"/>
      </w:pPr>
      <w:r>
        <w:t>阶段 C：大小球 / 让球校准</w:t>
      </w:r>
    </w:p>
    <w:p>
      <w:r>
        <w:rPr>
          <w:rFonts w:ascii="Microsoft YaHei" w:hAnsi="Microsoft YaHei" w:eastAsia="Microsoft YaHei"/>
          <w:b w:val="0"/>
          <w:color w:val="172033"/>
          <w:sz w:val="20"/>
        </w:rPr>
        <w:t>目标：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单独验收比分矩阵；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按盘口线统计 EV 与真实盈亏；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校准总进球层；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校准让球线方向；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通过后才允许进入模拟舱资金规则。</w:t>
      </w:r>
    </w:p>
    <w:p>
      <w:pPr>
        <w:pStyle w:val="Heading2"/>
      </w:pPr>
      <w:r>
        <w:t>阶段 D：交付公网下载版</w:t>
      </w:r>
    </w:p>
    <w:p>
      <w:r>
        <w:rPr>
          <w:rFonts w:ascii="Microsoft YaHei" w:hAnsi="Microsoft YaHei" w:eastAsia="Microsoft YaHei"/>
          <w:b w:val="0"/>
          <w:color w:val="172033"/>
          <w:sz w:val="20"/>
        </w:rPr>
        <w:t>目标：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使用新的 API-Football 密钥；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设置访问口令；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配置持久磁盘；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打包用户使用说明；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提供可分享访问地址或可下载安装包。</w:t>
      </w:r>
    </w:p>
    <w:p>
      <w:pPr>
        <w:pStyle w:val="Heading1"/>
      </w:pPr>
      <w:r>
        <w:t>八、最终判断</w:t>
      </w:r>
    </w:p>
    <w:p>
      <w:r>
        <w:rPr>
          <w:rFonts w:ascii="Microsoft YaHei" w:hAnsi="Microsoft YaHei" w:eastAsia="Microsoft YaHei"/>
          <w:b w:val="0"/>
          <w:color w:val="172033"/>
          <w:sz w:val="20"/>
        </w:rPr>
        <w:t>项目当前可以交付为：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0F172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Consolas" w:hAnsi="Consolas" w:eastAsia="Microsoft YaHei"/>
                <w:color w:val="E2E8F0"/>
                <w:sz w:val="19"/>
              </w:rPr>
              <w:t>本地可运行、可复盘、可积累样本、可导出报告的世界杯预测研究模拟系统。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172033"/>
          <w:sz w:val="20"/>
        </w:rPr>
        <w:t>项目当前不应交付为：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0F172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Consolas" w:hAnsi="Consolas" w:eastAsia="Microsoft YaHei"/>
                <w:color w:val="E2E8F0"/>
                <w:sz w:val="19"/>
              </w:rPr>
              <w:t>已经验证正期望、可以真实下注执行的自动投注系统。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172033"/>
          <w:sz w:val="20"/>
        </w:rPr>
        <w:t>建议甲方验收口径：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0F172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Consolas" w:hAnsi="Consolas" w:eastAsia="Microsoft YaHei"/>
                <w:color w:val="E2E8F0"/>
                <w:sz w:val="19"/>
              </w:rPr>
              <w:t>先以 v1.0 研究模拟系统落地使用，每日跑批积累样本；</w:t>
            </w:r>
            <w:r>
              <w:br/>
            </w:r>
            <w:r>
              <w:rPr>
                <w:rFonts w:ascii="Consolas" w:hAnsi="Consolas" w:eastAsia="Microsoft YaHei"/>
                <w:color w:val="E2E8F0"/>
                <w:sz w:val="19"/>
              </w:rPr>
              <w:t>等样本达到校准门槛，再进入 v1.1 正式 EV 审批与模拟舱解锁阶段。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81" w:right="1181" w:bottom="1181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4748B"/>
        <w:sz w:val="17"/>
      </w:rPr>
      <w:t>世界杯预测项目 · 最终落地交付报告 · 正式 EV 未开放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YaHei" w:hAnsi="Microsoft YaHei" w:eastAsia="Microsoft YaHei"/>
      <w:color w:val="172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F9731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20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世界杯预测项目最终落地交付报告</dc:title>
  <dc:subject>本地研究模拟系统 v1.0 交付验收</dc:subject>
  <dc:creator>世界杯预测项目组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