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李兴华</w:t>
      </w:r>
      <w:r>
        <w:rPr>
          <w:rFonts w:hint="eastAsia"/>
          <w:color w:val="FF0000"/>
          <w:lang w:val="en-US" w:eastAsia="zh-CN"/>
        </w:rPr>
        <w:t>Ajax知识讲解：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一、Ajax概述：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1、如果要进行Ajax操作，绝对离不开两个核心概念：JavaScript、服务器（处理web请求）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2、Ajax操作：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1）如果要先操作Ajax，那么首先必须要取得XMLHttpRequest对象；所有的异步处理交互以及数据的回调处理都是通过XMLHttpRequest对象完成。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B3D11"/>
    <w:rsid w:val="2D804DC7"/>
    <w:rsid w:val="34393BBE"/>
    <w:rsid w:val="395A3D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2017-10-05T01:55:52Z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