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每套生命周期都由一组阶段（Phase）组成</w:t>
      </w:r>
      <w:r>
        <w:rPr>
          <w:rFonts w:hint="eastAsia"/>
          <w:lang w:val="en-US" w:eastAsia="zh-CN"/>
        </w:rPr>
        <w:t>，平时我们在命令行输入的命令总会对应于一个特定的阶段。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547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475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15290"/>
    <w:rsid w:val="1AC23F09"/>
    <w:rsid w:val="37E362EE"/>
    <w:rsid w:val="3D2C3286"/>
    <w:rsid w:val="3F264BAA"/>
    <w:rsid w:val="4C435D67"/>
    <w:rsid w:val="63A21E89"/>
    <w:rsid w:val="65BA24FB"/>
    <w:rsid w:val="6C7329F9"/>
    <w:rsid w:val="71BA75DF"/>
    <w:rsid w:val="768D0349"/>
    <w:rsid w:val="7962298C"/>
    <w:rsid w:val="7981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2020-09-14T15:39:09Z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