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码制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"https://www.icourse163.org/learn/NUDT-206001?tid=1003274003" \l "/learn/content?type=detail&amp;id=1004616526&amp;cid=1005824182&amp;replay=true"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https://www.icourse163.org/learn/NUDT-206001?tid=1003274003#/learn/content?type=detail&amp;id=1004616526&amp;cid=1005824182&amp;replay=true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码制：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不同的数码不仅可以用来表示数量的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大小</w:t>
      </w:r>
      <w:r>
        <w:rPr>
          <w:rFonts w:hint="eastAsia" w:ascii="微软雅黑" w:hAnsi="微软雅黑" w:eastAsia="微软雅黑" w:cs="微软雅黑"/>
          <w:lang w:val="en-US" w:eastAsia="zh-CN"/>
        </w:rPr>
        <w:t>，而且可以用来表示不同的事物或事物的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不同状态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在用于表示不同事物的情况下，这些数码已经不再具有表示数量大小的含义了，它们只是不同事物的代号而已。这些数码称为代码。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D4FC70"/>
    <w:multiLevelType w:val="singleLevel"/>
    <w:tmpl w:val="CED4FC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5A6D531C"/>
    <w:rsid w:val="63B21B73"/>
    <w:rsid w:val="7A70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2020-01-05T04:51:01Z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