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</w:pPr>
      <w:r>
        <w:rPr>
          <w:rFonts w:ascii="Arial" w:hAnsi="Arial" w:cs="Arial"/>
          <w:sz w:val="22"/>
          <w:sz-cs w:val="22"/>
        </w:rPr>
        <w:t xml:space="preserve">Suzhou Zhongxinglian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No.69 Hongxi Road ,Suzhou New Distr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Suzhou, 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CN</w:t>
      </w:r>
    </w:p>
    <w:p>
      <w:pPr>
        <w:jc w:val="both"/>
      </w:pPr>
      <w:r>
        <w:rPr>
          <w:rFonts w:ascii="Arial" w:hAnsi="Arial" w:cs="Arial"/>
          <w:sz w:val="14"/>
          <w:sz-cs w:val="14"/>
        </w:rPr>
        <w:t xml:space="preserve"/>
      </w:r>
    </w:p>
    <w:p>
      <w:pPr>
        <w:jc w:val="both"/>
      </w:pPr>
      <w:r>
        <w:rPr>
          <w:rFonts w:ascii="Arial" w:hAnsi="Arial" w:cs="Arial"/>
          <w:sz w:val="14"/>
          <w:sz-cs w:val="14"/>
        </w:rPr>
        <w:t xml:space="preserve"/>
      </w:r>
    </w:p>
    <w:p>
      <w:pPr>
        <w:jc w:val="both"/>
      </w:pPr>
      <w:r>
        <w:rPr>
          <w:rFonts w:ascii="Arial" w:hAnsi="Arial" w:cs="Arial"/>
          <w:sz w:val="14"/>
          <w:sz-cs w:val="14"/>
        </w:rPr>
        <w:t xml:space="preserve"/>
      </w:r>
    </w:p>
    <w:p>
      <w:pPr>
        <w:jc w:val="both"/>
      </w:pPr>
      <w:r>
        <w:rPr>
          <w:rFonts w:ascii="Arial" w:hAnsi="Arial" w:cs="Arial"/>
          <w:sz w:val="14"/>
          <w:sz-cs w:val="14"/>
        </w:rPr>
        <w:t xml:space="preserve"/>
      </w:r>
    </w:p>
    <w:p>
      <w:pPr>
        <w:jc w:val="both"/>
        <w:ind w:left="284"/>
      </w:pPr>
      <w:r>
        <w:rPr>
          <w:rFonts w:ascii="Arial" w:hAnsi="Arial" w:cs="Arial"/>
          <w:sz w:val="14"/>
          <w:sz-cs w:val="14"/>
        </w:rPr>
        <w:t xml:space="preserve"/>
      </w:r>
    </w:p>
    <w:p>
      <w:pPr>
        <w:jc w:val="both"/>
      </w:pPr>
      <w:r>
        <w:rPr>
          <w:rFonts w:ascii="Arial" w:hAnsi="Arial" w:cs="Arial"/>
          <w:sz w:val="14"/>
          <w:sz-cs w:val="14"/>
        </w:rPr>
        <w:t xml:space="preserve"/>
      </w:r>
    </w:p>
    <w:p>
      <w:pPr>
        <w:jc w:val="both"/>
      </w:pPr>
      <w:r>
        <w:rPr>
          <w:rFonts w:ascii="Arial" w:hAnsi="Arial" w:cs="Arial"/>
          <w:sz w:val="14"/>
          <w:sz-cs w:val="14"/>
        </w:rPr>
        <w:t xml:space="preserve"/>
      </w:r>
    </w:p>
    <w:p>
      <w:pPr>
        <w:jc w:val="both"/>
      </w:pPr>
      <w:r>
        <w:rPr>
          <w:rFonts w:ascii="Arial" w:hAnsi="Arial" w:cs="Arial"/>
          <w:sz w:val="14"/>
          <w:sz-cs w:val="14"/>
        </w:rPr>
        <w:t xml:space="preserve"/>
      </w:r>
    </w:p>
    <w:p>
      <w:pPr>
        <w:jc w:val="both"/>
      </w:pPr>
      <w:r>
        <w:rPr>
          <w:rFonts w:ascii="Arial" w:hAnsi="Arial" w:cs="Arial"/>
          <w:sz w:val="16"/>
          <w:sz-cs w:val="16"/>
          <w:position w:val="2"/>
        </w:rPr>
        <w:t xml:space="preserve">None</w:t>
      </w:r>
    </w:p>
    <w:p>
      <w:pPr>
        <w:jc w:val="both"/>
      </w:pPr>
      <w:r>
        <w:rPr>
          <w:rFonts w:ascii="Arial" w:hAnsi="Arial" w:cs="Arial"/>
          <w:sz w:val="16"/>
          <w:sz-cs w:val="16"/>
          <w:position w:val="2"/>
        </w:rPr>
        <w:t xml:space="preserve">2019-11-05</w:t>
      </w:r>
    </w:p>
    <w:p>
      <w:pPr>
        <w:jc w:val="both"/>
      </w:pPr>
      <w:r>
        <w:rPr>
          <w:rFonts w:ascii="Arial" w:hAnsi="Arial" w:cs="Arial"/>
          <w:sz w:val="16"/>
          <w:sz-cs w:val="16"/>
          <w:position w:val="2"/>
        </w:rPr>
        <w:t xml:space="preserve">None</w:t>
      </w:r>
    </w:p>
    <w:p>
      <w:pPr>
        <w:jc w:val="both"/>
      </w:pPr>
      <w:r>
        <w:rPr>
          <w:rFonts w:ascii="Arial" w:hAnsi="Arial" w:cs="Arial"/>
          <w:sz w:val="16"/>
          <w:sz-cs w:val="16"/>
          <w:position w:val="2"/>
        </w:rPr>
        <w:t xml:space="preserve"/>
      </w:r>
    </w:p>
    <w:p>
      <w:pPr>
        <w:jc w:val="both"/>
      </w:pPr>
      <w:r>
        <w:rPr>
          <w:rFonts w:ascii="Arial" w:hAnsi="Arial" w:cs="Arial"/>
          <w:sz w:val="16"/>
          <w:sz-cs w:val="16"/>
          <w:position w:val="2"/>
        </w:rPr>
        <w:t xml:space="preserve"/>
      </w:r>
    </w:p>
    <w:p>
      <w:pPr>
        <w:jc w:val="both"/>
      </w:pPr>
      <w:r>
        <w:rPr>
          <w:rFonts w:ascii="Arial" w:hAnsi="Arial" w:cs="Arial"/>
          <w:sz w:val="16"/>
          <w:sz-cs w:val="16"/>
          <w:position w:val="2"/>
        </w:rPr>
        <w:t xml:space="preserve"/>
      </w:r>
    </w:p>
    <w:p>
      <w:pPr>
        <w:jc w:val="both"/>
      </w:pPr>
      <w:r>
        <w:rPr>
          <w:rFonts w:ascii="Arial" w:hAnsi="Arial" w:cs="Arial"/>
          <w:sz w:val="16"/>
          <w:sz-cs w:val="16"/>
          <w:position w:val="2"/>
        </w:rPr>
        <w:t xml:space="preserve">2019-11-05</w:t>
      </w:r>
    </w:p>
    <w:p>
      <w:pPr>
        <w:jc w:val="both"/>
      </w:pPr>
      <w:r>
        <w:rPr>
          <w:rFonts w:ascii="Arial" w:hAnsi="Arial" w:cs="Arial"/>
          <w:sz w:val="16"/>
          <w:sz-cs w:val="16"/>
          <w:position w:val="2"/>
        </w:rPr>
        <w:t xml:space="preserve"/>
      </w:r>
    </w:p>
    <w:p>
      <w:pPr>
        <w:jc w:val="both"/>
      </w:pPr>
      <w:r>
        <w:rPr>
          <w:rFonts w:ascii="Arial" w:hAnsi="Arial" w:cs="Arial"/>
          <w:sz w:val="16"/>
          <w:sz-cs w:val="16"/>
          <w:position w:val="2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Nomination Letter for project  APS/HEC GM E.000521</w:t>
      </w:r>
    </w:p>
    <w:p>
      <w:pPr/>
      <w:r>
        <w:rPr>
          <w:rFonts w:ascii="Menlo" w:hAnsi="Menlo" w:cs="Menlo"/>
          <w:sz w:val="21"/>
          <w:sz-cs w:val="21"/>
          <w:spacing w:val="0"/>
          <w:color w:val="9F0011"/>
        </w:rPr>
        <w:t xml:space="preserve"/>
      </w:r>
    </w:p>
    <w:p>
      <w:pPr/>
      <w:r>
        <w:rPr>
          <w:rFonts w:ascii="Arial" w:hAnsi="Arial" w:cs="Arial"/>
          <w:sz w:val="20"/>
          <w:sz-cs w:val="20"/>
          <w:b/>
          <w:spacing w:val="0"/>
          <w:color w:val="FB0207"/>
        </w:rPr>
        <w:t xml:space="preserve"> 935.085-00 CONNECTOR SKIRT GR</w:t>
      </w:r>
    </w:p>
    <w:p>
      <w:pPr/>
      <w:r>
        <w:rPr>
          <w:rFonts w:ascii="Menlo" w:hAnsi="Menlo" w:cs="Menlo"/>
          <w:sz w:val="21"/>
          <w:sz-cs w:val="21"/>
          <w:spacing w:val="0"/>
          <w:color w:val="9F0011"/>
        </w:rPr>
        <w:t xml:space="preserve"/>
      </w:r>
    </w:p>
    <w:p>
      <w:pPr/>
      <w:r>
        <w:rPr>
          <w:rFonts w:ascii="Arial" w:hAnsi="Arial" w:cs="Arial"/>
          <w:sz w:val="20"/>
          <w:sz-cs w:val="20"/>
          <w:b/>
          <w:spacing w:val="0"/>
          <w:color w:val="FB0207"/>
        </w:rPr>
        <w:t xml:space="preserve"> 935.085-10 CONNECTOR SKIRT GR</w:t>
      </w:r>
    </w:p>
    <w:p>
      <w:pPr/>
      <w:r>
        <w:rPr>
          <w:rFonts w:ascii="Menlo" w:hAnsi="Menlo" w:cs="Menlo"/>
          <w:sz w:val="21"/>
          <w:sz-cs w:val="21"/>
          <w:spacing w:val="0"/>
          <w:color w:val="9F0011"/>
        </w:rPr>
        <w:t xml:space="preserve"/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Assumptions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The project documents have to be considered in the following order of priority: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This Nomination Letter 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Delivery regulation for order processing between Suzhou Zhongxinglian and Hella Shanghai Electr.Co. dated PlzUpdate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Tool contract ‘A’ between Suzhou Zhongxinglian and Hella Shanghai Electr.Co. dated PlzUpdate</w:t>
      </w:r>
    </w:p>
    <w:p>
      <w:pPr>
        <w:jc w:val="both"/>
        <w:ind w:left="56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Framework Supply Agreement for the procurement of manufacturing materials between Suzhou Zhongxinglian and Hella Shanghai Electr.Co. dated 2007-03-01 00:00:00.  (the “Framework Supply Agreement”)</w:t>
      </w:r>
    </w:p>
    <w:p>
      <w:pPr>
        <w:jc w:val="both"/>
        <w:ind w:left="56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If necessary, quotation(s) (incl. Cost Break Down) dated None</w:t>
      </w:r>
    </w:p>
    <w:p>
      <w:pPr>
        <w:jc w:val="both"/>
        <w:ind w:left="56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If necessary, inquiry documents dated None</w:t>
      </w:r>
    </w:p>
    <w:p>
      <w:pPr>
        <w:ind w:left="56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Logistic Data Sheet dated (signed)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In case of no Framework Supply Agreement existing between the parties, the “General Terms of Purchasing of Hella KGaA Hueck &amp; Co.”, which are valid at the time, shall apply exclusively. The General Terms of Purchasing can be viewed on the Internet under www.hella.de/ekb (German) and www.hella.com/gtc (English). 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The supplier's General Terms of Sale are hereby expressly rejected. 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b/>
        </w:rPr>
        <w:t xml:space="preserve">Preamble</w:t>
      </w:r>
    </w:p>
    <w:p>
      <w:pPr>
        <w:jc w:val="both"/>
      </w:pPr>
      <w:r>
        <w:rPr>
          <w:rFonts w:ascii="Arial" w:hAnsi="Arial" w:cs="Arial"/>
          <w:sz w:val="22"/>
          <w:sz-cs w:val="22"/>
          <w:b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Based on our previous discussions and negotiations, we will place continuous orders, incl. needed equipment with </w:t>
      </w:r>
      <w:r>
        <w:rPr>
          <w:rFonts w:ascii="Arial" w:hAnsi="Arial" w:cs="Arial"/>
          <w:sz w:val="24"/>
          <w:sz-cs w:val="24"/>
        </w:rPr>
        <w:t xml:space="preserve">Suzhou Zhongxinglian</w:t>
      </w:r>
      <w:r>
        <w:rPr>
          <w:rFonts w:ascii="Arial" w:hAnsi="Arial" w:cs="Arial"/>
          <w:sz w:val="22"/>
          <w:sz-cs w:val="22"/>
        </w:rPr>
        <w:t xml:space="preserve"> for the components listed below in section 1. Component(s). The components’ delivery is subject to the following conditions: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Internal Comment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Nomination Roadmap ID: </w:t>
      </w:r>
      <w:r>
        <w:rPr>
          <w:rFonts w:ascii="Menlo" w:hAnsi="Menlo" w:cs="Menlo"/>
          <w:sz w:val="21"/>
          <w:sz-cs w:val="21"/>
          <w:spacing w:val="0"/>
          <w:color w:val="9F0011"/>
        </w:rPr>
        <w:t xml:space="preserve"/>
      </w:r>
      <w:r>
        <w:rPr>
          <w:rFonts w:ascii="Arial" w:hAnsi="Arial" w:cs="Arial"/>
          <w:sz w:val="20"/>
          <w:sz-cs w:val="20"/>
          <w:b/>
          <w:spacing w:val="0"/>
          <w:color w:val="FB0207"/>
        </w:rPr>
        <w:t xml:space="preserve"> 652 / </w:t>
      </w:r>
      <w:r>
        <w:rPr>
          <w:rFonts w:ascii="Menlo" w:hAnsi="Menlo" w:cs="Menlo"/>
          <w:sz w:val="21"/>
          <w:sz-cs w:val="21"/>
          <w:spacing w:val="0"/>
          <w:color w:val="9F0011"/>
        </w:rPr>
        <w:t xml:space="preserve"/>
      </w:r>
      <w:r>
        <w:rPr>
          <w:rFonts w:ascii="Arial" w:hAnsi="Arial" w:cs="Arial"/>
          <w:sz w:val="20"/>
          <w:sz-cs w:val="20"/>
          <w:b/>
          <w:spacing w:val="0"/>
          <w:color w:val="FB0207"/>
        </w:rPr>
        <w:t xml:space="preserve"> 1552 / </w:t>
      </w:r>
      <w:r>
        <w:rPr>
          <w:rFonts w:ascii="Menlo" w:hAnsi="Menlo" w:cs="Menlo"/>
          <w:sz w:val="21"/>
          <w:sz-cs w:val="21"/>
          <w:spacing w:val="0"/>
          <w:color w:val="9F0011"/>
        </w:rPr>
        <w:t xml:space="preserve"/>
      </w: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Component(s)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1"/>
          <w:sz-cs w:val="21"/>
          <w:spacing w:val="0"/>
          <w:color w:val="9F0011"/>
        </w:rPr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Pos: 0</w:t>
      </w:r>
    </w:p>
    <w:p>
      <w:pPr/>
      <w:r>
        <w:rPr>
          <w:rFonts w:ascii="Times" w:hAnsi="Times" w:cs="Times"/>
          <w:sz w:val="24"/>
          <w:sz-cs w:val="24"/>
        </w:rPr>
        <w:t xml:space="preserve">Part Number: 935.085-00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2020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2021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2022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2023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2024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2025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2026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114700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142200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102500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102500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102500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97700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10200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2020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2021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2022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2023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2024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2025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2026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Menlo" w:hAnsi="Menlo" w:cs="Menlo"/>
          <w:sz w:val="21"/>
          <w:sz-cs w:val="21"/>
          <w:spacing w:val="0"/>
          <w:color w:val="9F0011"/>
        </w:rPr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Pos: 1</w:t>
      </w:r>
    </w:p>
    <w:p>
      <w:pPr/>
      <w:r>
        <w:rPr>
          <w:rFonts w:ascii="Times" w:hAnsi="Times" w:cs="Times"/>
          <w:sz w:val="24"/>
          <w:sz-cs w:val="24"/>
        </w:rPr>
        <w:t xml:space="preserve">Part Number: 935.085-10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2020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2021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2022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2023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2024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2025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2026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114700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142200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102500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102500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102500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97700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10200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2020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2021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2022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2023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2024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2025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2026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Menlo" w:hAnsi="Menlo" w:cs="Menlo"/>
          <w:sz w:val="21"/>
          <w:sz-cs w:val="21"/>
          <w:spacing w:val="0"/>
          <w:color w:val="9F0011"/>
        </w:rPr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Basis:</w:t>
      </w:r>
    </w:p>
    <w:p>
      <w:pPr>
        <w:jc w:val="both"/>
      </w:pPr>
      <w:r>
        <w:rPr>
          <w:rFonts w:ascii="Arial" w:hAnsi="Arial" w:cs="Arial"/>
          <w:sz w:val="18"/>
          <w:sz-cs w:val="18"/>
          <w:b/>
        </w:rPr>
        <w:t xml:space="preserve">Shift operation</w:t>
      </w:r>
    </w:p>
    <w:p>
      <w:pPr>
        <w:jc w:val="both"/>
      </w:pPr>
      <w:r>
        <w:rPr>
          <w:rFonts w:ascii="Arial" w:hAnsi="Arial" w:cs="Arial"/>
          <w:sz w:val="18"/>
          <w:sz-cs w:val="18"/>
        </w:rPr>
        <w:t xml:space="preserve">PlzUpdate shifts per day</w:t>
      </w:r>
    </w:p>
    <w:p>
      <w:pPr>
        <w:jc w:val="both"/>
      </w:pPr>
      <w:r>
        <w:rPr>
          <w:rFonts w:ascii="Arial" w:hAnsi="Arial" w:cs="Arial"/>
          <w:sz w:val="18"/>
          <w:sz-cs w:val="18"/>
          <w:b/>
        </w:rPr>
        <w:t xml:space="preserve">Shift duration</w:t>
      </w:r>
    </w:p>
    <w:p>
      <w:pPr>
        <w:jc w:val="both"/>
      </w:pPr>
      <w:r>
        <w:rPr>
          <w:rFonts w:ascii="Arial" w:hAnsi="Arial" w:cs="Arial"/>
          <w:sz w:val="18"/>
          <w:sz-cs w:val="18"/>
        </w:rPr>
        <w:t xml:space="preserve">PlzUpdate hours</w:t>
      </w:r>
    </w:p>
    <w:p>
      <w:pPr>
        <w:jc w:val="both"/>
      </w:pPr>
      <w:r>
        <w:rPr>
          <w:rFonts w:ascii="Arial" w:hAnsi="Arial" w:cs="Arial"/>
          <w:sz w:val="18"/>
          <w:sz-cs w:val="18"/>
          <w:b/>
        </w:rPr>
        <w:t xml:space="preserve">Calendar days / week</w:t>
      </w:r>
    </w:p>
    <w:p>
      <w:pPr>
        <w:jc w:val="both"/>
      </w:pPr>
      <w:r>
        <w:rPr>
          <w:rFonts w:ascii="Arial" w:hAnsi="Arial" w:cs="Arial"/>
          <w:sz w:val="18"/>
          <w:sz-cs w:val="18"/>
        </w:rPr>
        <w:t xml:space="preserve">PlzUpdate</w:t>
      </w:r>
    </w:p>
    <w:p>
      <w:pPr>
        <w:jc w:val="both"/>
      </w:pPr>
      <w:r>
        <w:rPr>
          <w:rFonts w:ascii="Arial" w:hAnsi="Arial" w:cs="Arial"/>
          <w:sz w:val="18"/>
          <w:sz-cs w:val="18"/>
          <w:b/>
        </w:rPr>
        <w:t xml:space="preserve">Weeks / calendar year</w:t>
      </w:r>
    </w:p>
    <w:p>
      <w:pPr>
        <w:jc w:val="both"/>
      </w:pPr>
      <w:r>
        <w:rPr>
          <w:rFonts w:ascii="Arial" w:hAnsi="Arial" w:cs="Arial"/>
          <w:sz w:val="18"/>
          <w:sz-cs w:val="18"/>
        </w:rPr>
        <w:t xml:space="preserve">PlzUpdate</w:t>
      </w:r>
    </w:p>
    <w:p>
      <w:pPr>
        <w:jc w:val="both"/>
      </w:pPr>
      <w:r>
        <w:rPr>
          <w:rFonts w:ascii="Arial" w:hAnsi="Arial" w:cs="Arial"/>
          <w:sz w:val="18"/>
          <w:sz-cs w:val="18"/>
          <w:b/>
        </w:rPr>
        <w:t xml:space="preserve">OEE (%)</w:t>
      </w:r>
    </w:p>
    <w:p>
      <w:pPr>
        <w:jc w:val="both"/>
      </w:pPr>
      <w:r>
        <w:rPr>
          <w:rFonts w:ascii="Arial" w:hAnsi="Arial" w:cs="Arial"/>
          <w:sz w:val="18"/>
          <w:sz-cs w:val="18"/>
        </w:rPr>
        <w:t xml:space="preserve"> None %</w:t>
      </w: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Suzhou Zhongxinglian has to ensure that sufficient capacity is available to cover the ramp-up curve, i.e. that the demands will get higher during the year and cannot be split evenly until peak volume.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The planned project duration is 7 years after start of production (SOP).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These forecasted quantities shall not be construed as an early order by HELLA. 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Orders will be placed by HELLA by either single purchase orders or delivery plan call offs. 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  <w:ind w:left="1440"/>
      </w:pPr>
      <w:r>
        <w:rPr>
          <w:rFonts w:ascii="Arial" w:hAnsi="Arial" w:cs="Arial"/>
          <w:sz w:val="22"/>
          <w:sz-cs w:val="22"/>
          <w:b/>
        </w:rPr>
        <w:t xml:space="preserve"/>
        <w:tab/>
        <w:t xml:space="preserve">•</w:t>
        <w:tab/>
        <w:t xml:space="preserve">Flexibilities</w:t>
      </w:r>
    </w:p>
    <w:p>
      <w:pPr>
        <w:jc w:val="both"/>
        <w:ind w:left="360"/>
      </w:pPr>
      <w:r>
        <w:rPr>
          <w:rFonts w:ascii="Arial" w:hAnsi="Arial" w:cs="Arial"/>
          <w:sz w:val="22"/>
          <w:sz-cs w:val="22"/>
          <w:b/>
        </w:rPr>
        <w:t xml:space="preserve"/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flexibility is based on the above confirmed demands per year</w:t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+/-  % flexibility for  weeks with a pre-announcement of  weeks in advance</w:t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further flexibility needs to be checked individually based on the confirmed demands per year</w:t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frozen zone of capacity changes for  weeks</w:t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1"/>
          <w:sz-cs w:val="21"/>
          <w:spacing w:val="0"/>
          <w:color w:val="9F0011"/>
        </w:rPr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Pos: 0</w:t>
      </w:r>
    </w:p>
    <w:p>
      <w:pPr/>
      <w:r>
        <w:rPr>
          <w:rFonts w:ascii="Times" w:hAnsi="Times" w:cs="Times"/>
          <w:sz w:val="24"/>
          <w:sz-cs w:val="24"/>
        </w:rPr>
        <w:t xml:space="preserve">Part Number: 935.085-00</w:t>
      </w:r>
    </w:p>
    <w:p>
      <w:pPr/>
      <w:r>
        <w:rPr>
          <w:rFonts w:ascii="Times" w:hAnsi="Times" w:cs="Times"/>
          <w:sz w:val="24"/>
          <w:sz-cs w:val="24"/>
        </w:rPr>
        <w:t xml:space="preserve">INJECTION AND STAMPING</w:t>
      </w:r>
    </w:p>
    <w:p>
      <w:pPr/>
      <w:r>
        <w:rPr>
          <w:rFonts w:ascii="Times" w:hAnsi="Times" w:cs="Times"/>
          <w:sz w:val="24"/>
          <w:sz-cs w:val="24"/>
        </w:rPr>
        <w:t xml:space="preserve">4</w:t>
      </w:r>
    </w:p>
    <w:p>
      <w:pPr/>
      <w:r>
        <w:rPr>
          <w:rFonts w:ascii="Menlo" w:hAnsi="Menlo" w:cs="Menlo"/>
          <w:sz w:val="21"/>
          <w:sz-cs w:val="21"/>
          <w:spacing w:val="0"/>
          <w:color w:val="9F0011"/>
        </w:rPr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Pos: 1</w:t>
      </w:r>
    </w:p>
    <w:p>
      <w:pPr/>
      <w:r>
        <w:rPr>
          <w:rFonts w:ascii="Times" w:hAnsi="Times" w:cs="Times"/>
          <w:sz w:val="24"/>
          <w:sz-cs w:val="24"/>
        </w:rPr>
        <w:t xml:space="preserve">Part Number: 935.085-10</w:t>
      </w:r>
    </w:p>
    <w:p>
      <w:pPr/>
      <w:r>
        <w:rPr>
          <w:rFonts w:ascii="Times" w:hAnsi="Times" w:cs="Times"/>
          <w:sz w:val="24"/>
          <w:sz-cs w:val="24"/>
        </w:rPr>
        <w:t xml:space="preserve">INJECTION AND STAMPING</w:t>
      </w:r>
    </w:p>
    <w:p>
      <w:pPr/>
      <w:r>
        <w:rPr>
          <w:rFonts w:ascii="Times" w:hAnsi="Times" w:cs="Times"/>
          <w:sz w:val="24"/>
          <w:sz-cs w:val="24"/>
        </w:rPr>
        <w:t xml:space="preserve">4</w:t>
      </w:r>
    </w:p>
    <w:p>
      <w:pPr/>
      <w:r>
        <w:rPr>
          <w:rFonts w:ascii="Menlo" w:hAnsi="Menlo" w:cs="Menlo"/>
          <w:sz w:val="21"/>
          <w:sz-cs w:val="21"/>
          <w:spacing w:val="0"/>
          <w:color w:val="9F0011"/>
        </w:rPr>
        <w:t xml:space="preserve"/>
      </w: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1"/>
          <w:sz-cs w:val="21"/>
          <w:spacing w:val="0"/>
          <w:color w:val="9F0011"/>
        </w:rPr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Pos: 0</w:t>
      </w:r>
    </w:p>
    <w:p>
      <w:pPr/>
      <w:r>
        <w:rPr>
          <w:rFonts w:ascii="Times" w:hAnsi="Times" w:cs="Times"/>
          <w:sz w:val="24"/>
          <w:sz-cs w:val="24"/>
        </w:rPr>
        <w:t xml:space="preserve">Part Number: 935.085-00</w:t>
      </w:r>
    </w:p>
    <w:p>
      <w:pPr/>
      <w:r>
        <w:rPr>
          <w:rFonts w:ascii="Times" w:hAnsi="Times" w:cs="Times"/>
          <w:sz w:val="24"/>
          <w:sz-cs w:val="24"/>
        </w:rPr>
        <w:t xml:space="preserve">INJECTION AND STAMPING</w:t>
      </w:r>
    </w:p>
    <w:p>
      <w:pPr/>
      <w:r>
        <w:rPr>
          <w:rFonts w:ascii="Times" w:hAnsi="Times" w:cs="Times"/>
          <w:sz w:val="24"/>
          <w:sz-cs w:val="24"/>
        </w:rPr>
        <w:t xml:space="preserve">527500</w:t>
      </w:r>
    </w:p>
    <w:p>
      <w:pPr/>
      <w:r>
        <w:rPr>
          <w:rFonts w:ascii="Menlo" w:hAnsi="Menlo" w:cs="Menlo"/>
          <w:sz w:val="21"/>
          <w:sz-cs w:val="21"/>
          <w:spacing w:val="0"/>
          <w:color w:val="9F0011"/>
        </w:rPr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Pos: 1</w:t>
      </w:r>
    </w:p>
    <w:p>
      <w:pPr/>
      <w:r>
        <w:rPr>
          <w:rFonts w:ascii="Times" w:hAnsi="Times" w:cs="Times"/>
          <w:sz w:val="24"/>
          <w:sz-cs w:val="24"/>
        </w:rPr>
        <w:t xml:space="preserve">Part Number: 935.085-10</w:t>
      </w:r>
    </w:p>
    <w:p>
      <w:pPr/>
      <w:r>
        <w:rPr>
          <w:rFonts w:ascii="Times" w:hAnsi="Times" w:cs="Times"/>
          <w:sz w:val="24"/>
          <w:sz-cs w:val="24"/>
        </w:rPr>
        <w:t xml:space="preserve">INJECTION AND STAMPING</w:t>
      </w:r>
    </w:p>
    <w:p>
      <w:pPr/>
      <w:r>
        <w:rPr>
          <w:rFonts w:ascii="Times" w:hAnsi="Times" w:cs="Times"/>
          <w:sz w:val="24"/>
          <w:sz-cs w:val="24"/>
        </w:rPr>
        <w:t xml:space="preserve">527500</w:t>
      </w:r>
    </w:p>
    <w:p>
      <w:pPr/>
      <w:r>
        <w:rPr>
          <w:rFonts w:ascii="Menlo" w:hAnsi="Menlo" w:cs="Menlo"/>
          <w:sz w:val="21"/>
          <w:sz-cs w:val="21"/>
          <w:spacing w:val="0"/>
          <w:color w:val="9F0011"/>
        </w:rPr>
        <w:t xml:space="preserve"/>
      </w: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// part price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1"/>
          <w:sz-cs w:val="21"/>
          <w:spacing w:val="0"/>
          <w:color w:val="9F0011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Part Number: 935.085-00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Year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2026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Price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327.36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320.81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314.4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311.25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311.25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311.25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311.25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1"/>
          <w:sz-cs w:val="21"/>
          <w:spacing w:val="0"/>
          <w:color w:val="9F0011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Part Number: 935.085-10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Year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2026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Price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327360.0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320810.0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314400.0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311250.0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311250.0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311250.0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311250.0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1"/>
          <w:sz-cs w:val="21"/>
          <w:spacing w:val="0"/>
          <w:color w:val="9F0011"/>
        </w:rPr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// QS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1"/>
          <w:sz-cs w:val="21"/>
          <w:spacing w:val="0"/>
          <w:color w:val="9F0011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2020</w:t>
      </w:r>
    </w:p>
    <w:p>
      <w:pPr/>
      <w:r>
        <w:rPr>
          <w:rFonts w:ascii="Times" w:hAnsi="Times" w:cs="Times"/>
          <w:sz w:val="24"/>
          <w:sz-cs w:val="24"/>
        </w:rPr>
        <w:t xml:space="preserve">20000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1"/>
          <w:sz-cs w:val="21"/>
          <w:spacing w:val="0"/>
          <w:color w:val="9F0011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2021</w:t>
      </w:r>
    </w:p>
    <w:p>
      <w:pPr/>
      <w:r>
        <w:rPr>
          <w:rFonts w:ascii="Times" w:hAnsi="Times" w:cs="Times"/>
          <w:sz w:val="24"/>
          <w:sz-cs w:val="24"/>
        </w:rPr>
        <w:t xml:space="preserve">20000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1"/>
          <w:sz-cs w:val="21"/>
          <w:spacing w:val="0"/>
          <w:color w:val="9F0011"/>
        </w:rPr>
        <w:t xml:space="preserve"/>
      </w: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sectPr>
      <w:pgSz w:w="11900" w:h="16840"/>
      <w:pgMar w:top="2948" w:right="1418" w:bottom="1985" w:left="1134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Hella KGaA Hueck &amp; Co.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Hella 3724</dc:title>
  <dc:creator>Hölscher, Sonja</dc:creator>
</cp:coreProperties>
</file>

<file path=docProps/meta.xml><?xml version="1.0" encoding="utf-8"?>
<meta xmlns="http://schemas.apple.com/cocoa/2006/metadata">
  <generator>CocoaOOXMLWriter/1894.3</generator>
</meta>
</file>