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ALFMEIER AUTOMOTIVE SYSTEMS (SHANGH</w:t>
      </w:r>
    </w:p>
    <w:p w14:paraId="119FB60F" w14:textId="3D7525F2"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Building 3, No. 66, Tian Ying Road</w:t>
      </w:r>
    </w:p>
    <w:p w14:paraId="37181978" w14:textId="523D9A24"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Shanghai, </w:t>
      </w:r>
    </w:p>
    <w:p w14:paraId="3295D707" w14:textId="77777777" w:rsidR="00013530" w:rsidRDefault="00013530" w:rsidP="006E16AD">
      <w:pPr>
        <w:framePr w:w="4820" w:h="231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0D95CC3F" w14:textId="318343C9" w:rsidR="00890757" w:rsidRPr="008E75A1"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FAD81C5" w14:textId="5EBD6231" w:rsidR="00890757" w:rsidRDefault="00890757"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42B697DA" w:rsidR="008B317A" w:rsidRDefault="008B317A"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w:r>
    </w:p>
    <w:p w14:paraId="62FB4A58" w14:textId="06B28701" w:rsidR="0059468C" w:rsidRPr="008E75A1" w:rsidRDefault="0059468C" w:rsidP="006E16AD">
      <w:pPr>
        <w:framePr w:w="4820" w:h="231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6E16AD">
      <w:pPr>
        <w:framePr w:w="4820" w:h="231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6E16AD">
      <w:pPr>
        <w:framePr w:w="4820" w:h="231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6E16AD">
      <w:pPr>
        <w:framePr w:w="4820" w:h="231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Gary Ding</w:t>
      </w:r>
    </w:p>
    <w:p w14:paraId="20AFEA64" w14:textId="7F3B9313"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832EBF">
        <w:rPr>
          <w:rFonts w:ascii="Arial" w:hAnsi="Arial" w:cs="Arial"/>
          <w:noProof/>
          <w:position w:val="2"/>
          <w:sz w:val="16"/>
          <w:szCs w:val="16"/>
          <w:lang w:val="en-US"/>
        </w:rPr>
        <w:t>2019-09-03</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Undefined</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1A5AB6C2"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832EBF">
        <w:rPr>
          <w:rFonts w:ascii="Arial" w:hAnsi="Arial" w:cs="Arial"/>
          <w:noProof/>
          <w:position w:val="2"/>
          <w:sz w:val="16"/>
          <w:szCs w:val="16"/>
          <w:lang w:val="en-US"/>
        </w:rPr>
        <w:t>2019-09-03</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Pumps UP28ePlus FAW-VW EA211 </w:t>
      </w:r>
    </w:p>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324.992-00 RUECKSCHLAGVENTIL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ALFMEIER AUTOMOTIVE SYSTEMS (SHANGH</w:t>
      </w:r>
      <w:r w:rsidRPr="0050382F">
        <w:rPr>
          <w:lang w:val="en-US"/>
        </w:rPr>
        <w:t xml:space="preserve"> and </w:t>
      </w:r>
      <w:r w:rsidR="00B4179E">
        <w:rPr>
          <w:szCs w:val="22"/>
          <w:lang w:val="en-US"/>
        </w:rPr>
        <w:t>Hella Shanghai Electronics Co., Ltd.</w:t>
      </w:r>
      <w:r w:rsidRPr="0050382F">
        <w:rPr>
          <w:lang w:val="en-US"/>
        </w:rPr>
        <w:t xml:space="preserve"> dated </w:t>
      </w:r>
      <w:r w:rsidR="00ED0EAE">
        <w:rPr>
          <w:szCs w:val="22"/>
          <w:lang w:val="en-US"/>
        </w:rPr>
        <w:t>Undefined</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ALFMEIER AUTOMOTIVE SYSTEMS (SHANGH</w:t>
      </w:r>
      <w:r>
        <w:rPr>
          <w:szCs w:val="22"/>
          <w:lang w:val="en-US"/>
        </w:rPr>
        <w:t xml:space="preserve"> </w:t>
      </w:r>
      <w:r>
        <w:rPr>
          <w:lang w:val="en-US"/>
        </w:rPr>
        <w:t xml:space="preserve">and </w:t>
      </w:r>
      <w:r w:rsidR="00ED0EAE">
        <w:rPr>
          <w:szCs w:val="22"/>
          <w:lang w:val="en-US"/>
        </w:rPr>
        <w:t>Hella Shanghai Electronics Co., Ltd.</w:t>
      </w:r>
      <w:r>
        <w:rPr>
          <w:lang w:val="en-US"/>
        </w:rPr>
        <w:t xml:space="preserve"> </w:t>
      </w:r>
      <w:r w:rsidRPr="0050382F">
        <w:rPr>
          <w:lang w:val="en-US"/>
        </w:rPr>
        <w:t>d</w:t>
      </w:r>
      <w:r>
        <w:rPr>
          <w:lang w:val="en-US"/>
        </w:rPr>
        <w:t xml:space="preserve">ated </w:t>
      </w:r>
      <w:r w:rsidR="00ED0EAE">
        <w:rPr>
          <w:szCs w:val="22"/>
          <w:lang w:val="en-US"/>
        </w:rPr>
        <w:t>Undefined</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ALFMEIER AUTOMOTIVE SYSTEMS (SHANGH</w:t>
      </w:r>
      <w:r>
        <w:rPr>
          <w:lang w:val="en-US"/>
        </w:rPr>
        <w:t xml:space="preserve"> </w:t>
      </w:r>
      <w:r w:rsidRPr="0050382F">
        <w:rPr>
          <w:lang w:val="en-US"/>
        </w:rPr>
        <w:t>and</w:t>
      </w:r>
      <w:r>
        <w:rPr>
          <w:lang w:val="en-US"/>
        </w:rPr>
        <w:t xml:space="preserve"> </w:t>
      </w:r>
      <w:r w:rsidR="00ED0EAE">
        <w:rPr>
          <w:szCs w:val="22"/>
          <w:lang w:val="en-US"/>
        </w:rPr>
        <w:t>Hella Shanghai Electronics Co., Ltd.</w:t>
      </w:r>
      <w:r>
        <w:rPr>
          <w:lang w:val="en-US"/>
        </w:rPr>
        <w:t xml:space="preserve"> </w:t>
      </w:r>
      <w:r w:rsidRPr="0050382F">
        <w:rPr>
          <w:lang w:val="en-US"/>
        </w:rPr>
        <w:t xml:space="preserve">dated </w:t>
      </w:r>
      <w:r w:rsidR="00ED0EAE">
        <w:rPr>
          <w:szCs w:val="22"/>
          <w:lang w:val="en-US"/>
        </w:rPr>
        <w:t>Undefined</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ALFMEIER AUTOMOTIVE SYSTEMS (SHANGH</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79 </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324.992-00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RUECKSCHLAGVENTIL</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ALFMEIER AUTOMOTIVE SYSTEMS (SHANGH</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553B045D"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Undefined</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324.992-00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620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620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1020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861</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785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782</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753</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631</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324.992-00</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Undefined</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Undefined</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Undefined</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ALFMEIER AUTOMOTIVE SYSTEMS (SHANGH</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77777777"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Pr="009912AD">
        <w:rPr>
          <w:rFonts w:ascii="Arial" w:hAnsi="Arial" w:cs="Arial"/>
          <w:sz w:val="22"/>
          <w:szCs w:val="22"/>
          <w:lang w:val="en-US"/>
        </w:rPr>
        <w:fldChar w:fldCharType="begin"/>
      </w:r>
      <w:r w:rsidRPr="009912AD">
        <w:rPr>
          <w:rFonts w:ascii="Arial" w:hAnsi="Arial" w:cs="Arial"/>
          <w:sz w:val="22"/>
          <w:szCs w:val="22"/>
          <w:lang w:val="en-US"/>
        </w:rPr>
        <w:instrText>MAC</w:instrText>
      </w:r>
      <w:r w:rsidR="00D96B17">
        <w:rPr>
          <w:rFonts w:ascii="Arial" w:hAnsi="Arial" w:cs="Arial"/>
          <w:sz w:val="22"/>
          <w:szCs w:val="22"/>
          <w:lang w:val="en-US"/>
        </w:rPr>
        <w:instrText>ROBUTTON NoMacro [</w:instrText>
      </w:r>
      <w:r w:rsidRPr="009912AD">
        <w:rPr>
          <w:rFonts w:ascii="Arial" w:hAnsi="Arial" w:cs="Arial"/>
          <w:sz w:val="22"/>
          <w:szCs w:val="22"/>
          <w:lang w:val="en-US"/>
        </w:rPr>
        <w:instrText>enter project lifetime]</w:instrText>
      </w:r>
      <w:r w:rsidRPr="009912AD">
        <w:rPr>
          <w:rFonts w:ascii="Arial" w:hAnsi="Arial" w:cs="Arial"/>
          <w:sz w:val="22"/>
          <w:szCs w:val="22"/>
          <w:lang w:val="en-US"/>
        </w:rPr>
        <w:fldChar w:fldCharType="end"/>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324.992-00</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PLASTIC INJECTION</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8</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324.992-00</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CNY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324.992-00</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1244000</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568000</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324.992-00</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CNY]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324.992-00</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2745000</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2745000</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324.992-00</w:t>
            </w:r>
          </w:p>
        </w:tc>
        <w:tc>
          <w:tcPr>
            <w:tcW w:w="2657" w:type="dxa"/>
          </w:tcPr>
          <w:p w14:paraId="349A1D89" w14:textId="2C1304FD"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13ECAE29" w14:textId="6B9DD514"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
            </w:r>
          </w:p>
        </w:tc>
        <w:tc>
          <w:tcPr>
            <w:tcW w:w="2657" w:type="dxa"/>
          </w:tcPr>
          <w:p w14:paraId="5AF43E4B" w14:textId="21045502" w:rsidR="00214F0F" w:rsidRPr="00B572F9" w:rsidRDefault="00CD76E3"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CNY</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0</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324.992-00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474.0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459.78</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445.98</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432.6</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432.6</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432.6</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432.6</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0</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28600</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2</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3</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4</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5</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bookmarkStart w:id="0" w:name="_GoBack"/>
      <w:bookmarkEnd w:id="0"/>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324.992-00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ALFMEIER AUTOMOTIVE SYSTEMS (SHANGH</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324.992-00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324.992-00</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ALFMEIER AUTOMOTIVE SYSTEMS (SHANGH</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ALFMEIER AUTOMOTIVE SYSTEMS (SHANGH</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ALFMEIER AUTOMOTIVE SYSTEMS (SHANGH</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ALFMEIER AUTOMOTIVE SYSTEMS (SHANGH</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ALFMEIER AUTOMOTIVE SYSTEMS (SHANGH</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ALFMEIER AUTOMOTIVE SYSTEMS (SHANGH</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ALFMEIER AUTOMOTIVE SYSTEMS (SHANGH</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ALFMEIER AUTOMOTIVE SYSTEMS (SHANGH</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ALFMEIER AUTOMOTIVE SYSTEMS (SHANGH</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Shanghai</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ALFMEIER AUTOMOTIVE SYSTEMS (SHANGH</w:t>
      </w:r>
      <w:r>
        <w:rPr>
          <w:rFonts w:ascii="Arial" w:hAnsi="Arial" w:cs="Arial"/>
          <w:sz w:val="22"/>
          <w:szCs w:val="22"/>
          <w:lang w:val="en-US"/>
        </w:rPr>
        <w:t xml:space="preserve"> in </w:t>
      </w:r>
      <w:r w:rsidR="00CF653A">
        <w:rPr>
          <w:rFonts w:ascii="Arial" w:hAnsi="Arial" w:cs="Arial"/>
          <w:sz w:val="22"/>
          <w:szCs w:val="22"/>
          <w:lang w:val="en-US"/>
        </w:rPr>
        <w:t>Shanghai</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ALFMEIER AUTOMOTIVE SYSTEMS (SHANGH</w:t>
      </w:r>
      <w:r>
        <w:rPr>
          <w:rFonts w:ascii="Arial" w:hAnsi="Arial" w:cs="Arial"/>
          <w:sz w:val="22"/>
          <w:szCs w:val="22"/>
          <w:lang w:val="en-US"/>
        </w:rPr>
        <w:t xml:space="preserve"> in </w:t>
      </w:r>
      <w:r w:rsidR="00CF653A">
        <w:rPr>
          <w:rFonts w:ascii="Arial" w:hAnsi="Arial" w:cs="Arial"/>
          <w:sz w:val="22"/>
          <w:szCs w:val="22"/>
          <w:lang w:val="en-US"/>
        </w:rPr>
        <w:t>Shanghai</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ALFMEIER AUTOMOTIVE SYSTEMS (SHANGH</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ALFMEIER AUTOMOTIVE SYSTEMS (SHANGH</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ALFMEIER AUTOMOTIVE SYSTEMS (SHANGH</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ALFMEIER AUTOMOTIVE SYSTEMS (SHANGH</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ALFMEIER AUTOMOTIVE SYSTEMS (SHANGH</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Gary Ding</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ALFMEIER AUTOMOTIVE SYSTEMS (SHANGH</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ALFMEIER AUTOMOTIVE SYSTEMS (SHANGH</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ALFMEIER AUTOMOTIVE SYSTEMS (SHANGH</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ALFMEIER AUTOMOTIVE SYSTEMS (SHANGH</w:t>
      </w:r>
    </w:p>
    <w:p w14:paraId="20AFED09" w14:textId="7EED4945" w:rsidR="00C6597A" w:rsidRPr="00C6597A" w:rsidRDefault="00A609D6" w:rsidP="00C6597A">
      <w:pPr>
        <w:ind w:left="510"/>
        <w:rPr>
          <w:sz w:val="16"/>
          <w:szCs w:val="16"/>
          <w:lang w:val="en-US"/>
        </w:rPr>
      </w:pPr>
      <w:r>
        <w:rPr>
          <w:rFonts w:ascii="Arial" w:hAnsi="Arial"/>
          <w:position w:val="2"/>
          <w:sz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Gary Ding</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Jerry Fang</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0460B" w14:textId="77777777" w:rsidR="0059164B" w:rsidRDefault="0059164B">
      <w:r>
        <w:separator/>
      </w:r>
    </w:p>
  </w:endnote>
  <w:endnote w:type="continuationSeparator" w:id="0">
    <w:p w14:paraId="64541FC2" w14:textId="77777777" w:rsidR="0059164B" w:rsidRDefault="00591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Malgun Gothic"/>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Light">
    <w:panose1 w:val="02000506000000020004"/>
    <w:charset w:val="00"/>
    <w:family w:val="auto"/>
    <w:pitch w:val="variable"/>
    <w:sig w:usb0="00000003" w:usb1="00000000" w:usb2="00000000" w:usb3="00000000" w:csb0="00000001"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1067D" w14:textId="77777777" w:rsidR="00226A79" w:rsidRDefault="00226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77777777"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Pumps UP28ePlus FAW-VW EA211</w:t>
            </w:r>
          </w:p>
          <w:p w14:paraId="20AFED25" w14:textId="5022648A"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832EBF">
              <w:rPr>
                <w:rFonts w:ascii="Arial" w:hAnsi="Arial" w:cs="Arial"/>
                <w:noProof/>
                <w:position w:val="2"/>
                <w:sz w:val="16"/>
                <w:szCs w:val="16"/>
                <w:lang w:val="en-US"/>
              </w:rPr>
              <w:t>9/3/2019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59164B"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3D" w14:textId="77777777" w:rsidR="00485439" w:rsidRPr="00E738D3"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b/>
        <w:color w:val="002545"/>
        <w:sz w:val="12"/>
        <w:szCs w:val="12"/>
      </w:rPr>
    </w:pPr>
  </w:p>
  <w:p w14:paraId="20AFED3E"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E738D3">
      <w:rPr>
        <w:rFonts w:ascii="Arial" w:hAnsi="Arial" w:cs="HellaDINUniversal-Medium"/>
        <w:b/>
        <w:color w:val="002545"/>
        <w:sz w:val="12"/>
        <w:szCs w:val="12"/>
      </w:rPr>
      <w:t>Deutsche Bank AG, Lippstadt</w:t>
    </w:r>
    <w:r>
      <w:rPr>
        <w:rFonts w:ascii="Arial" w:hAnsi="Arial" w:cs="HellaDINUniversal-Medium"/>
        <w:color w:val="002545"/>
        <w:sz w:val="12"/>
        <w:szCs w:val="12"/>
      </w:rPr>
      <w:t xml:space="preserve"> </w:t>
    </w:r>
    <w:r w:rsidRPr="00E738D3">
      <w:rPr>
        <w:rFonts w:ascii="Arial" w:hAnsi="Arial" w:cs="HellaDINUniversal-Medium"/>
        <w:color w:val="002545"/>
        <w:sz w:val="12"/>
        <w:szCs w:val="12"/>
      </w:rPr>
      <w:t xml:space="preserve">Konto 6 085 013  BLZ 416 700 27  IBAN DE59 4167 0027 0608 5013 00  SWIFT DEUTDE 3B416  </w:t>
    </w:r>
    <w:r w:rsidRPr="00E738D3">
      <w:rPr>
        <w:rFonts w:ascii="Arial" w:hAnsi="Arial" w:cs="HellaDINUniversal-Medium"/>
        <w:b/>
        <w:color w:val="002545"/>
        <w:sz w:val="12"/>
        <w:szCs w:val="12"/>
      </w:rPr>
      <w:t xml:space="preserve">VAT Ident. </w:t>
    </w:r>
    <w:r w:rsidRPr="0050382F">
      <w:rPr>
        <w:rFonts w:ascii="Arial" w:hAnsi="Arial" w:cs="HellaDINUniversal-Medium"/>
        <w:b/>
        <w:color w:val="002545"/>
        <w:sz w:val="12"/>
        <w:szCs w:val="12"/>
        <w:lang w:val="en-US"/>
      </w:rPr>
      <w:t>No.</w:t>
    </w:r>
    <w:r w:rsidRPr="0050382F">
      <w:rPr>
        <w:rFonts w:ascii="Arial" w:hAnsi="Arial" w:cs="HellaDINUniversal-Medium"/>
        <w:color w:val="002545"/>
        <w:sz w:val="12"/>
        <w:szCs w:val="12"/>
        <w:lang w:val="en-US"/>
      </w:rPr>
      <w:t xml:space="preserve"> DE813832619</w:t>
    </w:r>
  </w:p>
  <w:p w14:paraId="20AFED3F"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lang w:val="en-US"/>
      </w:rPr>
    </w:pPr>
    <w:r w:rsidRPr="0050382F">
      <w:rPr>
        <w:rFonts w:ascii="Arial" w:hAnsi="Arial" w:cs="HellaDINUniversal-Medium"/>
        <w:b/>
        <w:color w:val="002545"/>
        <w:sz w:val="12"/>
        <w:szCs w:val="12"/>
        <w:lang w:val="en-US"/>
      </w:rPr>
      <w:t>Head Office</w:t>
    </w:r>
    <w:r w:rsidRPr="0050382F">
      <w:rPr>
        <w:rFonts w:ascii="Arial" w:hAnsi="Arial" w:cs="HellaDINUniversal-Medium"/>
        <w:color w:val="002545"/>
        <w:sz w:val="12"/>
        <w:szCs w:val="12"/>
        <w:lang w:val="en-US"/>
      </w:rPr>
      <w:t xml:space="preserve"> Lippstadt  </w:t>
    </w:r>
    <w:r w:rsidRPr="0050382F">
      <w:rPr>
        <w:rFonts w:ascii="Arial" w:hAnsi="Arial" w:cs="HellaDINUniversal-Medium"/>
        <w:b/>
        <w:color w:val="002545"/>
        <w:sz w:val="12"/>
        <w:szCs w:val="12"/>
        <w:lang w:val="en-US"/>
      </w:rPr>
      <w:t>Commercial Register</w:t>
    </w:r>
    <w:r w:rsidRPr="0050382F">
      <w:rPr>
        <w:rFonts w:ascii="Arial" w:hAnsi="Arial" w:cs="HellaDINUniversal-Medium"/>
        <w:color w:val="002545"/>
        <w:sz w:val="12"/>
        <w:szCs w:val="12"/>
        <w:lang w:val="en-US"/>
      </w:rPr>
      <w:t xml:space="preserve"> Local Court Paderborn HRB 6857</w:t>
    </w:r>
  </w:p>
  <w:p w14:paraId="20AFED40" w14:textId="77777777" w:rsidR="00485439"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Personally Liable Partners</w:t>
    </w:r>
    <w:r w:rsidRPr="00E738D3">
      <w:rPr>
        <w:rFonts w:ascii="Arial" w:hAnsi="Arial" w:cs="HellaDINUniversal-Medium"/>
        <w:color w:val="002545"/>
        <w:sz w:val="12"/>
        <w:szCs w:val="12"/>
      </w:rPr>
      <w:t xml:space="preserve"> Dr. Jürgen Behrend</w:t>
    </w:r>
    <w:r>
      <w:rPr>
        <w:rFonts w:ascii="Arial" w:hAnsi="Arial" w:cs="HellaDINUniversal-Medium"/>
        <w:color w:val="002545"/>
        <w:sz w:val="12"/>
        <w:szCs w:val="12"/>
      </w:rPr>
      <w:t xml:space="preserve"> and</w:t>
    </w:r>
    <w:r w:rsidRPr="00E738D3">
      <w:rPr>
        <w:rFonts w:ascii="Arial" w:hAnsi="Arial" w:cs="HellaDINUniversal-Medium"/>
        <w:color w:val="002545"/>
        <w:sz w:val="12"/>
        <w:szCs w:val="12"/>
      </w:rPr>
      <w:t xml:space="preserve"> </w:t>
    </w:r>
    <w:r>
      <w:rPr>
        <w:rFonts w:ascii="Arial" w:hAnsi="Arial" w:cs="HellaDINUniversal-Medium"/>
        <w:color w:val="002545"/>
        <w:sz w:val="12"/>
        <w:szCs w:val="12"/>
      </w:rPr>
      <w:t>Hella</w:t>
    </w:r>
    <w:r w:rsidRPr="00E738D3">
      <w:rPr>
        <w:rFonts w:ascii="Arial" w:hAnsi="Arial" w:cs="HellaDINUniversal-Medium"/>
        <w:color w:val="002545"/>
        <w:sz w:val="12"/>
        <w:szCs w:val="12"/>
      </w:rPr>
      <w:t xml:space="preserve"> Geschäftsführungsgesellschaft mbH, Lippstadt (Local Court Paderborn HRB 5650) </w:t>
    </w:r>
  </w:p>
  <w:p w14:paraId="20AFED41" w14:textId="1693D63D" w:rsidR="00485439" w:rsidRPr="0034221C" w:rsidRDefault="00485439" w:rsidP="0048673E">
    <w:pPr>
      <w:framePr w:w="10206" w:h="1134" w:hRule="exact" w:hSpace="181" w:wrap="around" w:vAnchor="page" w:hAnchor="text" w:x="1" w:y="15452"/>
      <w:widowControl w:val="0"/>
      <w:autoSpaceDE w:val="0"/>
      <w:autoSpaceDN w:val="0"/>
      <w:adjustRightInd w:val="0"/>
      <w:rPr>
        <w:rFonts w:ascii="Arial" w:hAnsi="Arial" w:cs="HellaDINUniversal-Medium"/>
        <w:color w:val="002545"/>
        <w:sz w:val="12"/>
        <w:szCs w:val="12"/>
      </w:rPr>
    </w:pPr>
    <w:r w:rsidRPr="00E738D3">
      <w:rPr>
        <w:rFonts w:ascii="Arial" w:hAnsi="Arial" w:cs="HellaDINUniversal-Medium"/>
        <w:b/>
        <w:color w:val="002545"/>
        <w:sz w:val="12"/>
        <w:szCs w:val="12"/>
      </w:rPr>
      <w:t xml:space="preserve">Management Board of </w:t>
    </w:r>
    <w:r>
      <w:rPr>
        <w:rFonts w:ascii="Arial" w:hAnsi="Arial" w:cs="HellaDINUniversal-Medium"/>
        <w:b/>
        <w:color w:val="002545"/>
        <w:sz w:val="12"/>
        <w:szCs w:val="12"/>
      </w:rPr>
      <w:t>Hella</w:t>
    </w:r>
    <w:r w:rsidRPr="00E738D3">
      <w:rPr>
        <w:rFonts w:ascii="Arial" w:hAnsi="Arial" w:cs="HellaDINUniversal-Medium"/>
        <w:b/>
        <w:color w:val="002545"/>
        <w:sz w:val="12"/>
        <w:szCs w:val="12"/>
      </w:rPr>
      <w:t xml:space="preserve"> Geschäftsführungsgesellschaft mbH</w:t>
    </w:r>
    <w:r>
      <w:rPr>
        <w:rFonts w:ascii="Arial" w:hAnsi="Arial" w:cs="HellaDINUniversal-Medium"/>
        <w:b/>
        <w:color w:val="002545"/>
        <w:sz w:val="12"/>
        <w:szCs w:val="12"/>
      </w:rPr>
      <w:t xml:space="preserve"> </w:t>
    </w:r>
    <w:r w:rsidRPr="00E738D3">
      <w:rPr>
        <w:rFonts w:ascii="Arial" w:hAnsi="Arial" w:cs="HellaDINUniversal-Medium"/>
        <w:color w:val="002545"/>
        <w:sz w:val="12"/>
        <w:szCs w:val="12"/>
      </w:rPr>
      <w:t>Dr. Rolf Breidenbach (</w:t>
    </w:r>
    <w:r>
      <w:rPr>
        <w:rFonts w:ascii="Arial" w:hAnsi="Arial" w:cs="HellaDINUniversal-Medium"/>
        <w:color w:val="002545"/>
        <w:sz w:val="12"/>
        <w:szCs w:val="12"/>
      </w:rPr>
      <w:t xml:space="preserve">Chairman / </w:t>
    </w:r>
    <w:r w:rsidRPr="00E738D3">
      <w:rPr>
        <w:rFonts w:ascii="Arial" w:hAnsi="Arial" w:cs="HellaDINUniversal-Medium"/>
        <w:color w:val="002545"/>
        <w:sz w:val="12"/>
        <w:szCs w:val="12"/>
      </w:rPr>
      <w:t>CEO), Markus Bannert,</w:t>
    </w:r>
    <w:r>
      <w:rPr>
        <w:rFonts w:ascii="Arial" w:hAnsi="Arial" w:cs="HellaDINUniversal-Medium"/>
        <w:color w:val="002545"/>
        <w:sz w:val="12"/>
        <w:szCs w:val="12"/>
      </w:rPr>
      <w:t xml:space="preserve"> Dr. Werner Benade,</w:t>
    </w:r>
    <w:r w:rsidRPr="00E738D3">
      <w:rPr>
        <w:rFonts w:ascii="Arial" w:hAnsi="Arial" w:cs="HellaDINUniversal-Medium"/>
        <w:color w:val="002545"/>
        <w:sz w:val="12"/>
        <w:szCs w:val="12"/>
      </w:rPr>
      <w:t xml:space="preserve"> </w:t>
    </w:r>
    <w:r w:rsidRPr="00030E44">
      <w:rPr>
        <w:rFonts w:ascii="Arial" w:hAnsi="Arial" w:cs="HellaDINUniversal-Medium"/>
        <w:color w:val="002545"/>
        <w:sz w:val="12"/>
        <w:szCs w:val="12"/>
      </w:rPr>
      <w:t>Stefan Osterhage, Bernard Schäferbarthold</w:t>
    </w:r>
    <w:r>
      <w:rPr>
        <w:rFonts w:ascii="Arial" w:hAnsi="Arial" w:cs="Arial"/>
        <w:color w:val="000000"/>
      </w:rPr>
      <w:t xml:space="preserve">, </w:t>
    </w:r>
    <w:r w:rsidRPr="00030E44">
      <w:rPr>
        <w:rFonts w:ascii="Arial" w:hAnsi="Arial" w:cs="HellaDINUniversal-Medium"/>
        <w:color w:val="002545"/>
        <w:sz w:val="12"/>
        <w:szCs w:val="12"/>
      </w:rPr>
      <w:t xml:space="preserve">Dr. </w:t>
    </w:r>
    <w:r w:rsidRPr="0034221C">
      <w:rPr>
        <w:rFonts w:ascii="Arial" w:hAnsi="Arial" w:cs="HellaDINUniversal-Medium"/>
        <w:color w:val="002545"/>
        <w:sz w:val="12"/>
        <w:szCs w:val="12"/>
      </w:rPr>
      <w:t xml:space="preserve">Matthias Schöllmann  </w:t>
    </w:r>
  </w:p>
  <w:p w14:paraId="20AFED42" w14:textId="77777777" w:rsidR="00485439" w:rsidRPr="0050382F" w:rsidRDefault="00485439" w:rsidP="0048673E">
    <w:pPr>
      <w:framePr w:w="10206" w:h="1134" w:hRule="exact" w:hSpace="181" w:wrap="around" w:vAnchor="page" w:hAnchor="text" w:x="1" w:y="15452"/>
      <w:widowControl w:val="0"/>
      <w:autoSpaceDE w:val="0"/>
      <w:autoSpaceDN w:val="0"/>
      <w:adjustRightInd w:val="0"/>
      <w:rPr>
        <w:rFonts w:ascii="Arial" w:hAnsi="Arial"/>
        <w:color w:val="002545"/>
        <w:sz w:val="12"/>
        <w:szCs w:val="12"/>
        <w:lang w:val="en-US"/>
      </w:rPr>
    </w:pPr>
    <w:r w:rsidRPr="0050382F">
      <w:rPr>
        <w:rFonts w:ascii="Arial" w:hAnsi="Arial" w:cs="HellaDINUniversal-Medium"/>
        <w:b/>
        <w:color w:val="002545"/>
        <w:sz w:val="12"/>
        <w:szCs w:val="12"/>
        <w:lang w:val="en-US"/>
      </w:rPr>
      <w:t>Chairman of the Supervisory Board</w:t>
    </w:r>
    <w:r w:rsidRPr="0050382F">
      <w:rPr>
        <w:rFonts w:ascii="Arial" w:hAnsi="Arial" w:cs="HellaDINUniversal-Medium"/>
        <w:color w:val="002545"/>
        <w:sz w:val="12"/>
        <w:szCs w:val="12"/>
        <w:lang w:val="en-US"/>
      </w:rPr>
      <w:t xml:space="preserve"> Prof. Dr. Michael Hoffmann-Becking</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C8AAF" w14:textId="77777777" w:rsidR="0059164B" w:rsidRDefault="0059164B">
      <w:r>
        <w:separator/>
      </w:r>
    </w:p>
  </w:footnote>
  <w:footnote w:type="continuationSeparator" w:id="0">
    <w:p w14:paraId="3044F987" w14:textId="77777777" w:rsidR="0059164B" w:rsidRDefault="00591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E0BCB" w14:textId="77777777" w:rsidR="00226A79" w:rsidRDefault="00226A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29" w14:textId="34152280" w:rsidR="00485439" w:rsidRDefault="00485439" w:rsidP="00523AFF">
    <w:pPr>
      <w:framePr w:w="284" w:h="1701" w:hSpace="181" w:wrap="around" w:vAnchor="page" w:hAnchor="text" w:x="-679" w:y="14630" w:anchorLock="1"/>
      <w:textDirection w:val="btLr"/>
      <w:rPr>
        <w:rFonts w:ascii="Arial" w:hAnsi="Arial" w:cs="Arial"/>
        <w:color w:val="002545"/>
        <w:lang w:val="fr-FR"/>
      </w:rPr>
    </w:pPr>
    <w:r>
      <w:rPr>
        <w:rFonts w:ascii="Arial" w:hAnsi="Arial" w:cs="HellaDINUniversal-Light"/>
        <w:noProof/>
        <w:color w:val="002545"/>
        <w:sz w:val="12"/>
        <w:szCs w:val="12"/>
        <w:lang w:val="en-US"/>
      </w:rPr>
      <mc:AlternateContent>
        <mc:Choice Requires="wps">
          <w:drawing>
            <wp:anchor distT="0" distB="0" distL="114300" distR="114300" simplePos="0" relativeHeight="251670016" behindDoc="0" locked="0" layoutInCell="0" allowOverlap="1" wp14:anchorId="29D94C29" wp14:editId="552348F9">
              <wp:simplePos x="0" y="0"/>
              <wp:positionH relativeFrom="page">
                <wp:posOffset>0</wp:posOffset>
              </wp:positionH>
              <wp:positionV relativeFrom="page">
                <wp:posOffset>190500</wp:posOffset>
              </wp:positionV>
              <wp:extent cx="7560310" cy="266700"/>
              <wp:effectExtent l="0" t="0" r="0" b="0"/>
              <wp:wrapNone/>
              <wp:docPr id="7" name="MSIPCM662c4747bda866cb9cacb046"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29D94C29" id="_x0000_t202" coordsize="21600,21600" o:spt="202" path="m,l,21600r21600,l21600,xe">
              <v:stroke joinstyle="miter"/>
              <v:path gradientshapeok="t" o:connecttype="rect"/>
            </v:shapetype>
            <v:shape id="MSIPCM662c4747bda866cb9cacb046"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bsKHQMAAEAGAAAOAAAAZHJzL2Uyb0RvYy54bWysVMlu2zAQvRfoPxA89FRHkiNLlhs5cBy4&#10;DeAkBpwiZ5qiLKESqZC0rTTIv3dIUc7SHoqiF3I2Dmd5M2fnbV2hPZOqFDzFwYmPEeNUZCXfpvj7&#10;3WIwxkhpwjNSCc5S/MgUPp9+/HB2aCZsKApRZUwicMLV5NCkuNC6mXieogWriToRDeOgzIWsiQZW&#10;br1MkgN4rytv6PuRdxAya6SgTCmQXnZKPLX+85xRfZvnimlUpRhi0/aU9tyY05uekclWkqYoqQuD&#10;/EMUNSk5fHp0dUk0QTtZ/uaqLqkUSuT6hIraE3leUmZzgGwC/10264I0zOYCxVHNsUzq/7mlN/uV&#10;RGWW4hgjTmpo0fX6ajW/jqIhDeMw3mRkHEV0k1BCN34YYZQxRaGCT58edkJ/+UZUMRcZ67jJIArH&#10;QTgK/fiz07NyW2inHYeAEKe4LzNdOPkoGR3lq4pQVjPev+ndEABKRzsHVzxjrXPQXYtSKr0iWxeM&#10;s1sDCACdzjJw0jvROIl//HrJ8v5XED4bcBwaNYEarRuokm4vRAsg7+UKhKbnbS5rc0M3EegBZo9H&#10;aLFWIwrCeBT5pwGoKOiGURT7Fnvey+sGYv/KRI0MkWIJUVtEkf1SaYgETHsT8xkXi7KqLHwrjg4p&#10;jk5Hvn1w1MCLihtbCAJ8OKqD5VMSDEP/YpgMFtE4HoSLcDRIYn888IPkIon8MAkvF8/GXxBOijLL&#10;GF+WnPUjEoR/B0E3rB247ZC8CVWJqsxMHiY2k928kmhPYFY3gIIfptCQxCsr7204Vg3Z9bfN0jM9&#10;63pjKN1uWgvwY982InuEdkoBZYaOqIZa4CyJAY+E8QchrDR9C0deCaitcBRGhZA//yQ39lAS0GJ0&#10;gHWSYvWwI5JhVF1xmNckCENwqy0DhLTEEAYFgIA2vZjv6rmA9AMbliWNsa56MpeivoeVNzPfgYpw&#10;Cp+mWPfkXAMHCliZlM1mloZV0xC95OuGGtd9se/aeyIbhzcNZbwR/cYhk3ew62zNSy5mOy3y0mLS&#10;FLgrJ7TAMLCmbDPcSjV78DVvrV4W//QX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gbsKHQMAAEAGAAAOAAAAAAAAAAAA&#10;AAAAAC4CAABkcnMvZTJvRG9jLnhtbFBLAQItABQABgAIAAAAIQA3pHo63AAAAAcBAAAPAAAAAAAA&#10;AAAAAAAAAHcFAABkcnMvZG93bnJldi54bWxQSwUGAAAAAAQABADzAAAAgAYAAAAA&#10;" o:allowincell="f" filled="f" stroked="f" strokeweight=".5pt">
              <v:textbox inset=",0,20pt,0">
                <w:txbxContent>
                  <w:p w14:paraId="4DB86348" w14:textId="00E2EA67"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r>
      <w:rPr>
        <w:rFonts w:ascii="Arial" w:hAnsi="Arial" w:cs="HellaDINUniversal-Light"/>
        <w:color w:val="002545"/>
        <w:sz w:val="12"/>
        <w:szCs w:val="12"/>
        <w:lang w:val="en-US"/>
      </w:rPr>
      <w:t>HF-00034_GE</w:t>
    </w:r>
  </w:p>
  <w:p w14:paraId="20AFED2A" w14:textId="445B4E2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r>
      <w:rPr>
        <w:rFonts w:ascii="Arial" w:hAnsi="Arial" w:cs="HellaDINUniversal-Medium"/>
        <w:b/>
        <w:color w:val="002545"/>
        <w:sz w:val="12"/>
        <w:szCs w:val="15"/>
        <w:lang w:val="en-US"/>
      </w:rPr>
      <w:t xml:space="preserve">HELLA GmbH &amp; Co. KGaA </w:t>
    </w:r>
    <w:r w:rsidRPr="0050382F">
      <w:rPr>
        <w:rFonts w:ascii="Arial" w:hAnsi="Arial" w:cs="HellaDINUniversal-Medium"/>
        <w:color w:val="002545"/>
        <w:sz w:val="12"/>
        <w:szCs w:val="15"/>
        <w:lang w:val="en-US"/>
      </w:rPr>
      <w:t>Rixbecker Straße 75, 59552 Lippstadt / Germany</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20AFED34" w14:textId="38850001"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b/>
        <w:color w:val="002545"/>
        <w:sz w:val="16"/>
        <w:szCs w:val="15"/>
        <w:lang w:val="en-US"/>
      </w:rPr>
    </w:pPr>
    <w:r w:rsidRPr="0050382F">
      <w:rPr>
        <w:rFonts w:ascii="Arial" w:hAnsi="Arial" w:cs="HellaDINUniversal-Medium"/>
        <w:b/>
        <w:color w:val="002545"/>
        <w:sz w:val="16"/>
        <w:szCs w:val="15"/>
        <w:lang w:val="en-US"/>
      </w:rPr>
      <w:t>HELLA</w:t>
    </w:r>
    <w:r>
      <w:rPr>
        <w:rFonts w:ascii="Arial" w:hAnsi="Arial" w:cs="HellaDINUniversal-Medium"/>
        <w:b/>
        <w:color w:val="002545"/>
        <w:sz w:val="16"/>
        <w:szCs w:val="15"/>
        <w:lang w:val="en-US"/>
      </w:rPr>
      <w:t xml:space="preserve"> GmbH &amp; Co.</w:t>
    </w:r>
    <w:r w:rsidRPr="0050382F">
      <w:rPr>
        <w:rFonts w:ascii="Arial" w:hAnsi="Arial" w:cs="HellaDINUniversal-Medium"/>
        <w:b/>
        <w:color w:val="002545"/>
        <w:sz w:val="16"/>
        <w:szCs w:val="15"/>
        <w:lang w:val="en-US"/>
      </w:rPr>
      <w:t xml:space="preserve"> KGaA </w:t>
    </w:r>
  </w:p>
  <w:p w14:paraId="20AFED35"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493E36">
      <w:rPr>
        <w:rFonts w:ascii="Arial" w:hAnsi="Arial" w:cs="HellaDINUniversal-Medium"/>
        <w:color w:val="002545"/>
        <w:sz w:val="16"/>
        <w:szCs w:val="15"/>
      </w:rPr>
      <w:t>Rixbec</w:t>
    </w:r>
    <w:r w:rsidRPr="00307EAF">
      <w:rPr>
        <w:rFonts w:ascii="Arial" w:hAnsi="Arial" w:cs="HellaDINUniversal-Medium"/>
        <w:color w:val="002545"/>
        <w:sz w:val="16"/>
        <w:szCs w:val="15"/>
      </w:rPr>
      <w:t>ker Straße 75</w:t>
    </w:r>
  </w:p>
  <w:p w14:paraId="20AFED36"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59552 Lippstadt / Germany</w:t>
    </w:r>
  </w:p>
  <w:p w14:paraId="20AFED37"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p>
  <w:p w14:paraId="20AFED38" w14:textId="77777777" w:rsidR="00485439" w:rsidRPr="00307EA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rPr>
    </w:pPr>
    <w:r w:rsidRPr="00307EAF">
      <w:rPr>
        <w:rFonts w:ascii="Arial" w:hAnsi="Arial" w:cs="HellaDINUniversal-Medium"/>
        <w:color w:val="002545"/>
        <w:sz w:val="16"/>
        <w:szCs w:val="15"/>
      </w:rPr>
      <w:t>Phone</w:t>
    </w:r>
    <w:r w:rsidRPr="00307EAF">
      <w:rPr>
        <w:rFonts w:ascii="Arial" w:hAnsi="Arial" w:cs="HellaDINUniversal-Medium"/>
        <w:color w:val="002545"/>
        <w:sz w:val="16"/>
        <w:szCs w:val="15"/>
      </w:rPr>
      <w:tab/>
      <w:t>+ 49 2941 38-0</w:t>
    </w:r>
  </w:p>
  <w:p w14:paraId="20AFED39"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r w:rsidRPr="0050382F">
      <w:rPr>
        <w:rFonts w:ascii="Arial" w:hAnsi="Arial" w:cs="HellaDINUniversal-Medium"/>
        <w:color w:val="002545"/>
        <w:sz w:val="16"/>
        <w:szCs w:val="15"/>
        <w:lang w:val="en-US"/>
      </w:rPr>
      <w:t>Fax</w:t>
    </w:r>
    <w:r w:rsidRPr="0050382F">
      <w:rPr>
        <w:rFonts w:ascii="Arial" w:hAnsi="Arial" w:cs="HellaDINUniversal-Medium"/>
        <w:color w:val="002545"/>
        <w:sz w:val="16"/>
        <w:szCs w:val="15"/>
        <w:lang w:val="en-US"/>
      </w:rPr>
      <w:tab/>
      <w:t>+ 49 2941 38-7133</w:t>
    </w:r>
  </w:p>
  <w:p w14:paraId="20AFED3A" w14:textId="77777777" w:rsidR="00485439" w:rsidRPr="0050382F" w:rsidRDefault="00485439" w:rsidP="00FF3646">
    <w:pPr>
      <w:framePr w:w="2517" w:h="5069" w:hRule="exact" w:hSpace="181" w:wrap="around" w:vAnchor="page" w:hAnchor="margin" w:x="7826" w:y="2553"/>
      <w:widowControl w:val="0"/>
      <w:autoSpaceDE w:val="0"/>
      <w:autoSpaceDN w:val="0"/>
      <w:adjustRightInd w:val="0"/>
      <w:spacing w:line="200" w:lineRule="exact"/>
      <w:rPr>
        <w:rFonts w:ascii="Arial" w:hAnsi="Arial" w:cs="HellaDINUniversal-Medium"/>
        <w:color w:val="002545"/>
        <w:sz w:val="16"/>
        <w:szCs w:val="15"/>
        <w:lang w:val="en-US"/>
      </w:rPr>
    </w:pPr>
  </w:p>
  <w:p w14:paraId="20AFED3B" w14:textId="77777777" w:rsidR="00485439" w:rsidRPr="0050382F" w:rsidRDefault="00485439" w:rsidP="00FF3646">
    <w:pPr>
      <w:framePr w:w="2517" w:h="5069" w:hRule="exact" w:hSpace="181" w:wrap="around" w:vAnchor="page" w:hAnchor="margin" w:x="7826" w:y="2553"/>
      <w:spacing w:line="200" w:lineRule="exact"/>
      <w:rPr>
        <w:rFonts w:ascii="Arial" w:hAnsi="Arial"/>
        <w:b/>
        <w:color w:val="002545"/>
        <w:sz w:val="16"/>
        <w:lang w:val="en-US"/>
      </w:rPr>
    </w:pPr>
    <w:r w:rsidRPr="0050382F">
      <w:rPr>
        <w:rFonts w:ascii="Arial" w:hAnsi="Arial" w:cs="HellaDINUniversal-Medium"/>
        <w:b/>
        <w:color w:val="002545"/>
        <w:sz w:val="16"/>
        <w:szCs w:val="15"/>
        <w:lang w:val="en-US"/>
      </w:rPr>
      <w:t>www.hella.com</w:t>
    </w: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817FB"/>
    <w:rsid w:val="006C64EB"/>
    <w:rsid w:val="006D12ED"/>
    <w:rsid w:val="006D4FD4"/>
    <w:rsid w:val="006E0937"/>
    <w:rsid w:val="006E16AD"/>
    <w:rsid w:val="006F5C20"/>
    <w:rsid w:val="007005D3"/>
    <w:rsid w:val="00703226"/>
    <w:rsid w:val="00712621"/>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90373A"/>
    <w:rsid w:val="00907AE6"/>
    <w:rsid w:val="00917B93"/>
    <w:rsid w:val="0092178C"/>
    <w:rsid w:val="0092568A"/>
    <w:rsid w:val="009834DA"/>
    <w:rsid w:val="009912AD"/>
    <w:rsid w:val="009B6E5B"/>
    <w:rsid w:val="009C177D"/>
    <w:rsid w:val="009D1C1E"/>
    <w:rsid w:val="009D500F"/>
    <w:rsid w:val="009E78D6"/>
    <w:rsid w:val="009F317B"/>
    <w:rsid w:val="00A24D00"/>
    <w:rsid w:val="00A332C6"/>
    <w:rsid w:val="00A355C7"/>
    <w:rsid w:val="00A361CE"/>
    <w:rsid w:val="00A527B2"/>
    <w:rsid w:val="00A562A5"/>
    <w:rsid w:val="00A609D6"/>
    <w:rsid w:val="00A80078"/>
    <w:rsid w:val="00A8534C"/>
    <w:rsid w:val="00AA7875"/>
    <w:rsid w:val="00AF01D1"/>
    <w:rsid w:val="00B014F8"/>
    <w:rsid w:val="00B2035C"/>
    <w:rsid w:val="00B4179E"/>
    <w:rsid w:val="00B463E3"/>
    <w:rsid w:val="00B572F9"/>
    <w:rsid w:val="00B6203F"/>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5917"/>
    <w:rsid w:val="00F80A0D"/>
    <w:rsid w:val="00F83120"/>
    <w:rsid w:val="00F83DA6"/>
    <w:rsid w:val="00F942F0"/>
    <w:rsid w:val="00FA0DA9"/>
    <w:rsid w:val="00FB6C34"/>
    <w:rsid w:val="00FC1705"/>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2.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3.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4C34F7-8842-4876-865E-88E5D1AA3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43</cp:revision>
  <cp:lastPrinted>2017-03-14T07:27:00Z</cp:lastPrinted>
  <dcterms:created xsi:type="dcterms:W3CDTF">2017-11-09T13:39:00Z</dcterms:created>
  <dcterms:modified xsi:type="dcterms:W3CDTF">2019-09-03T03:45:00Z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