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vendor_name }}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vendor.street }}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vendor.city }},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vendor.country}}</w:t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  <w:ind w:left="284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{{vendor.sales}}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{{project.pur }}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Nomination Letter for project  {{ project.project_name}}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</w:p>
    <w:p>
      <w:pPr/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{{ part.general.part }} {{ part.general.part_description 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Assumptions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project documents have to be considered in the following order of priority: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Nomination Letter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Delivery regulation for order processing between {{vendor_name}} and {{plant_name}} dated {{vendor.delivery_regulation_date}}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Tool contract ‘A’ between {{vendor_name}} and {{plant_name}} dated {{vendor.tool_contract_date}}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Framework Supply Agreement for the procurement of manufacturing materials between {{vendor_name}} and {{plant_name}} dated {{vendor.framework_date}}.  (the “Framework Supply Agreement”)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quotation(s) (incl. Cost Break Down) dated None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inquiry documents dated None</w:t>
      </w:r>
    </w:p>
    <w:p>
      <w:pPr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Logistic Data Sheet dated (signed)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In case of no Framework Supply Agreement existing between the parties, the “General Terms of Purchasing of Hella KGaA Hueck &amp; Co.”, which are valid at the time, shall apply exclusively. The General Terms of Purchasing can be viewed on the Internet under www.hella.de/ekb (German) and www.hella.com/gtc (English).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supplier's General Terms of Sale are hereby expressly rejected.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Preamble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Based on our previous discussions and negotiations, we will place continuous orders, incl. needed equipment with </w:t>
      </w:r>
      <w:r>
        <w:rPr>
          <w:rFonts w:ascii="Arial" w:hAnsi="Arial" w:cs="Arial"/>
          <w:sz w:val="24"/>
          <w:sz-cs w:val="24"/>
        </w:rPr>
        <w:t xml:space="preserve">{{vendor_name}}</w:t>
      </w:r>
      <w:r>
        <w:rPr>
          <w:rFonts w:ascii="Arial" w:hAnsi="Arial" w:cs="Arial"/>
          <w:sz w:val="22"/>
          <w:sz-cs w:val="22"/>
        </w:rPr>
        <w:t xml:space="preserve"> for the components listed below in section 1. Component(s). The components’ delivery is subject to the following conditions: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Internal Comment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Nomination Roadmap ID: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{{ part.general.nr_id }} /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Component(s)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{{ parts.index(part) }}</w:t>
      </w:r>
    </w:p>
    <w:p>
      <w:pPr/>
      <w:r>
        <w:rPr>
          <w:rFonts w:ascii="Times" w:hAnsi="Times" w:cs="Times"/>
          <w:sz w:val="24"/>
          <w:sz-cs w:val="24"/>
        </w:rPr>
        <w:t xml:space="preserve">Part Number: {{ part.general.part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year in range(lifetime.sop, lifetime.eop+1)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year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year in range(lifetime.sop, lifetime.eop+1)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part.year_vol[year]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vol in part.year_vol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vol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Basis: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operation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{{vendor.shifts_per_day}} shifts per day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duration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{{vendor.shift_duration}} hours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Calendar days / week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{{vendor.days_per_week}}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Weeks / calendar year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{{vendor.weeks_per_year}}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OEE (%)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 None %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{{vendor_name}} has to ensure that sufficient capacity is available to cover the ramp-up curve, i.e. that the demands will get higher during the year and cannot be split evenly until peak volume.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planned project duration is {{ (parts[0].year_vol).__len__() }} years after start of production (SOP).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These forecasted quantities shall not be construed as an early order by HELLA.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Orders will be placed by HELLA by either single purchase orders or delivery plan call offs.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Flexibilities</w:t>
      </w:r>
    </w:p>
    <w:p>
      <w:pPr>
        <w:jc w:val="both"/>
        <w:ind w:left="3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flexibility is based on the above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+/-  % flexibility for  weeks with a pre-announcement of  weeks in advance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further flexibility needs to be checked individually based on the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frozen zone of capacity changes for  weeks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item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invest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{{ invest.index(item) }}</w:t>
      </w:r>
    </w:p>
    <w:p>
      <w:pPr/>
      <w:r>
        <w:rPr>
          <w:rFonts w:ascii="Times" w:hAnsi="Times" w:cs="Times"/>
          <w:sz w:val="24"/>
          <w:sz-cs w:val="24"/>
        </w:rPr>
        <w:t xml:space="preserve">Part Number: {{ item.part }}</w:t>
      </w:r>
    </w:p>
    <w:p>
      <w:pPr/>
      <w:r>
        <w:rPr>
          <w:rFonts w:ascii="Times" w:hAnsi="Times" w:cs="Times"/>
          <w:sz w:val="24"/>
          <w:sz-cs w:val="24"/>
        </w:rPr>
        <w:t xml:space="preserve">{{item.tool_description }}</w:t>
      </w:r>
    </w:p>
    <w:p>
      <w:pPr/>
      <w:r>
        <w:rPr>
          <w:rFonts w:ascii="Times" w:hAnsi="Times" w:cs="Times"/>
          <w:sz w:val="24"/>
          <w:sz-cs w:val="24"/>
        </w:rPr>
        <w:t xml:space="preserve">{{ item.cavity 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item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invest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{{ invest.index(item) }}</w:t>
      </w:r>
    </w:p>
    <w:p>
      <w:pPr/>
      <w:r>
        <w:rPr>
          <w:rFonts w:ascii="Times" w:hAnsi="Times" w:cs="Times"/>
          <w:sz w:val="24"/>
          <w:sz-cs w:val="24"/>
        </w:rPr>
        <w:t xml:space="preserve">Part Number: {{ item.part }}</w:t>
      </w:r>
    </w:p>
    <w:p>
      <w:pPr/>
      <w:r>
        <w:rPr>
          <w:rFonts w:ascii="Times" w:hAnsi="Times" w:cs="Times"/>
          <w:sz w:val="24"/>
          <w:sz-cs w:val="24"/>
        </w:rPr>
        <w:t xml:space="preserve">{{item.tool_description }}</w:t>
      </w:r>
    </w:p>
    <w:p>
      <w:pPr/>
      <w:r>
        <w:rPr>
          <w:rFonts w:ascii="Times" w:hAnsi="Times" w:cs="Times"/>
          <w:sz w:val="24"/>
          <w:sz-cs w:val="24"/>
        </w:rPr>
        <w:t xml:space="preserve">{{ item.tool_cost 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// part price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Part Number: {{ part.general.part 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Year</w:t>
      </w:r>
    </w:p>
    <w:p>
      <w:pPr/>
      <w:r>
        <w:rPr>
          <w:rFonts w:ascii="Times" w:hAnsi="Times" w:cs="Times"/>
          <w:sz w:val="24"/>
          <w:sz-cs w:val="24"/>
        </w:rPr>
        <w:t xml:space="preserve">{% for year in range(lifetime.sop, lifetime.eop+1)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year }}</w:t>
      </w:r>
    </w:p>
    <w:p>
      <w:pPr/>
      <w:r>
        <w:rPr>
          <w:rFonts w:ascii="Times" w:hAnsi="Times" w:cs="Times"/>
          <w:sz w:val="24"/>
          <w:sz-cs w:val="24"/>
        </w:rPr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Price</w:t>
      </w:r>
    </w:p>
    <w:p>
      <w:pPr/>
      <w:r>
        <w:rPr>
          <w:rFonts w:ascii="Times" w:hAnsi="Times" w:cs="Times"/>
          <w:sz w:val="24"/>
          <w:sz-cs w:val="24"/>
        </w:rPr>
        <w:t xml:space="preserve">{% for year in range(lifetime.sop, lifetime.eop+1)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part.part_price100[year] }}</w:t>
      </w:r>
    </w:p>
    <w:p>
      <w:pPr/>
      <w:r>
        <w:rPr>
          <w:rFonts w:ascii="Times" w:hAnsi="Times" w:cs="Times"/>
          <w:sz w:val="24"/>
          <w:sz-cs w:val="24"/>
        </w:rPr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// QS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(year, qs)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qs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year }}</w:t>
      </w:r>
    </w:p>
    <w:p>
      <w:pPr/>
      <w:r>
        <w:rPr>
          <w:rFonts w:ascii="Times" w:hAnsi="Times" w:cs="Times"/>
          <w:sz w:val="24"/>
          <w:sz-cs w:val="24"/>
        </w:rPr>
        <w:t xml:space="preserve">{{qs}}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sectPr>
      <w:pgSz w:w="11900" w:h="16840"/>
      <w:pgMar w:top="2948" w:right="1418" w:bottom="1985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Hella KGaA Hueck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Hella 3724</dc:title>
  <dc:creator>Hölscher, Sonja</dc:creator>
</cp:coreProperties>
</file>

<file path=docProps/meta.xml><?xml version="1.0" encoding="utf-8"?>
<meta xmlns="http://schemas.apple.com/cocoa/2006/metadata">
  <generator>CocoaOOXMLWriter/1894.3</generator>
</meta>
</file>