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F4E79"/>
          <w:sz w:val="52"/>
          <w:szCs w:val="52"/>
        </w:rPr>
        <w:t xml:space="preserve">Column Mapping Pipeline</w:t>
      </w:r>
    </w:p>
    <w:p>
      <w:pPr>
        <w:spacing w:before="0" w:after="120"/>
        <w:jc w:val="center"/>
      </w:pPr>
      <w:r>
        <w:rPr>
          <w:rFonts w:ascii="Arial" w:cs="Arial" w:eastAsia="Arial" w:hAnsi="Arial"/>
          <w:i/>
          <w:iCs/>
          <w:color w:val="2E74B5"/>
          <w:sz w:val="28"/>
          <w:szCs w:val="28"/>
        </w:rPr>
        <w:t xml:space="preserve">How the Platform Matches Source Columns to the Canonical Model</w:t>
      </w:r>
    </w:p>
    <w:p>
      <w:pPr>
        <w:spacing w:before="0" w:after="600"/>
        <w:jc w:val="center"/>
      </w:pPr>
      <w:r>
        <w:rPr>
          <w:rFonts w:ascii="Arial" w:cs="Arial" w:eastAsia="Arial" w:hAnsi="Arial"/>
          <w:color w:val="888888"/>
          <w:sz w:val="22"/>
          <w:szCs w:val="22"/>
        </w:rPr>
        <w:t xml:space="preserve">Technical Deep-Dive  |  March 2026</w:t>
      </w:r>
    </w:p>
    <w:p>
      <w:pPr>
        <w:pBdr>
          <w:bottom w:val="single" w:color="1F4E79" w:sz="10"/>
        </w:pBdr>
        <w:spacing w:before="0" w:after="200"/>
      </w:pPr>
      <w:r>
        <w:t xml:space="preserve"/>
      </w:r>
    </w:p>
    <w:p>
      <w:pPr>
        <w:pStyle w:val="Heading1"/>
        <w:spacing w:before="480" w:after="160"/>
      </w:pPr>
      <w:r>
        <w:rPr>
          <w:rFonts w:ascii="Arial" w:cs="Arial" w:eastAsia="Arial" w:hAnsi="Arial"/>
          <w:b/>
          <w:bCs/>
          <w:color w:val="1F4E79"/>
          <w:sz w:val="36"/>
          <w:szCs w:val="36"/>
        </w:rPr>
        <w:t xml:space="preserve">Overview: What Is Column Mapping?</w:t>
      </w:r>
    </w:p>
    <w:p>
      <w:pPr>
        <w:spacing w:before="80" w:after="100"/>
      </w:pPr>
      <w:r>
        <w:rPr>
          <w:rFonts w:ascii="Arial" w:cs="Arial" w:eastAsia="Arial" w:hAnsi="Arial"/>
          <w:color w:val="222222"/>
          <w:sz w:val="22"/>
          <w:szCs w:val="22"/>
        </w:rPr>
        <w:t xml:space="preserve">Every supplier or contributor sends data in their own format. Column names differ — one sends 'Inv_Amt', another sends 'Invoice Amount (GBP)', another sends 'Amount Due'. The platform must reliably map every source column to the correct canonical column before any data quality checks or output generation can happen.</w:t>
      </w:r>
    </w:p>
    <w:p>
      <w:pPr>
        <w:spacing w:before="100" w:after="100"/>
      </w:pPr>
      <w:r>
        <w:t xml:space="preserve"/>
      </w:r>
    </w:p>
    <w:p>
      <w:pPr>
        <w:spacing w:before="80" w:after="100"/>
      </w:pPr>
      <w:r>
        <w:rPr>
          <w:rFonts w:ascii="Arial" w:cs="Arial" w:eastAsia="Arial" w:hAnsi="Arial"/>
          <w:color w:val="222222"/>
          <w:sz w:val="22"/>
          <w:szCs w:val="22"/>
        </w:rPr>
        <w:t xml:space="preserve">The Column Mapping Pipeline runs in 5 sequential passes for every source column in the uploaded file. Each pass is tried in order. Once a column is resolved, the remaining passes are skipped for that column.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200"/>
        <w:gridCol w:w="1792"/>
        <w:gridCol w:w="200"/>
        <w:gridCol w:w="1792"/>
        <w:gridCol w:w="200"/>
        <w:gridCol w:w="1792"/>
        <w:gridCol w:w="200"/>
        <w:gridCol w:w="1792"/>
      </w:tblGrid>
      <w:tr>
        <w:tc>
          <w:tcPr>
            <w:tcW w:type="dxa" w:w="1872"/>
            <w:tcBorders>
              <w:top w:val="none" w:color="FFFFFF" w:sz="0"/>
              <w:left w:val="none" w:color="FFFFFF" w:sz="0"/>
              <w:bottom w:val="none" w:color="FFFFFF" w:sz="0"/>
              <w:right w:val="none" w:color="FFFFFF" w:sz="0"/>
            </w:tcBorders>
            <w:shd w:fill="1E7145"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Pass 1</w:t>
            </w:r>
          </w:p>
          <w:p>
            <w:pPr>
              <w:jc w:val="center"/>
            </w:pPr>
            <w:r>
              <w:rPr>
                <w:rFonts w:ascii="Arial" w:cs="Arial" w:eastAsia="Arial" w:hAnsi="Arial"/>
                <w:color w:val="EEEEEE"/>
                <w:sz w:val="18"/>
                <w:szCs w:val="18"/>
              </w:rPr>
              <w:t xml:space="preserve">Exact Lookup</w:t>
            </w:r>
          </w:p>
        </w:tc>
        <w:tc>
          <w:tcPr>
            <w:tcW w:type="dxa" w:w="200"/>
            <w:tcBorders>
              <w:top w:val="none" w:color="FFFFFF" w:sz="0"/>
              <w:left w:val="none" w:color="FFFFFF" w:sz="0"/>
              <w:bottom w:val="none" w:color="FFFFFF" w:sz="0"/>
              <w:right w:val="none" w:color="FFFFFF" w:sz="0"/>
            </w:tcBorders>
            <w:shd w:fill="FFFFFF" w:val="clear"/>
            <w:tcMar>
              <w:top w:type="dxa" w:w="140"/>
              <w:left w:type="dxa" w:w="0"/>
              <w:bottom w:type="dxa" w:w="140"/>
              <w:right w:type="dxa" w:w="0"/>
            </w:tcMar>
          </w:tcPr>
          <w:p>
            <w:pPr>
              <w:jc w:val="center"/>
            </w:pPr>
            <w:r>
              <w:rPr>
                <w:rFonts w:ascii="Arial" w:cs="Arial" w:eastAsia="Arial" w:hAnsi="Arial"/>
                <w:b/>
                <w:bCs/>
                <w:color w:val="888888"/>
                <w:sz w:val="28"/>
                <w:szCs w:val="28"/>
              </w:rPr>
              <w:t xml:space="preserve">→</w:t>
            </w:r>
          </w:p>
        </w:tc>
        <w:tc>
          <w:tcPr>
            <w:tcW w:type="dxa" w:w="1872"/>
            <w:tcBorders>
              <w:top w:val="none" w:color="FFFFFF" w:sz="0"/>
              <w:left w:val="none" w:color="FFFFFF" w:sz="0"/>
              <w:bottom w:val="none" w:color="FFFFFF" w:sz="0"/>
              <w:right w:val="none" w:color="FFFFFF" w:sz="0"/>
            </w:tcBorders>
            <w:shd w:fill="2E74B5"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Pass 2</w:t>
            </w:r>
          </w:p>
          <w:p>
            <w:pPr>
              <w:jc w:val="center"/>
            </w:pPr>
            <w:r>
              <w:rPr>
                <w:rFonts w:ascii="Arial" w:cs="Arial" w:eastAsia="Arial" w:hAnsi="Arial"/>
                <w:color w:val="EEEEEE"/>
                <w:sz w:val="18"/>
                <w:szCs w:val="18"/>
              </w:rPr>
              <w:t xml:space="preserve">Fuzzy Match</w:t>
            </w:r>
          </w:p>
        </w:tc>
        <w:tc>
          <w:tcPr>
            <w:tcW w:type="dxa" w:w="200"/>
            <w:tcBorders>
              <w:top w:val="none" w:color="FFFFFF" w:sz="0"/>
              <w:left w:val="none" w:color="FFFFFF" w:sz="0"/>
              <w:bottom w:val="none" w:color="FFFFFF" w:sz="0"/>
              <w:right w:val="none" w:color="FFFFFF" w:sz="0"/>
            </w:tcBorders>
            <w:shd w:fill="FFFFFF" w:val="clear"/>
            <w:tcMar>
              <w:top w:type="dxa" w:w="140"/>
              <w:left w:type="dxa" w:w="0"/>
              <w:bottom w:type="dxa" w:w="140"/>
              <w:right w:type="dxa" w:w="0"/>
            </w:tcMar>
          </w:tcPr>
          <w:p>
            <w:pPr>
              <w:jc w:val="center"/>
            </w:pPr>
            <w:r>
              <w:rPr>
                <w:rFonts w:ascii="Arial" w:cs="Arial" w:eastAsia="Arial" w:hAnsi="Arial"/>
                <w:b/>
                <w:bCs/>
                <w:color w:val="888888"/>
                <w:sz w:val="28"/>
                <w:szCs w:val="28"/>
              </w:rPr>
              <w:t xml:space="preserve">→</w:t>
            </w:r>
          </w:p>
        </w:tc>
        <w:tc>
          <w:tcPr>
            <w:tcW w:type="dxa" w:w="1872"/>
            <w:tcBorders>
              <w:top w:val="none" w:color="FFFFFF" w:sz="0"/>
              <w:left w:val="none" w:color="FFFFFF" w:sz="0"/>
              <w:bottom w:val="none" w:color="FFFFFF" w:sz="0"/>
              <w:right w:val="none" w:color="FFFFFF" w:sz="0"/>
            </w:tcBorders>
            <w:shd w:fill="7B2D8B"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Pass 3</w:t>
            </w:r>
          </w:p>
          <w:p>
            <w:pPr>
              <w:jc w:val="center"/>
            </w:pPr>
            <w:r>
              <w:rPr>
                <w:rFonts w:ascii="Arial" w:cs="Arial" w:eastAsia="Arial" w:hAnsi="Arial"/>
                <w:color w:val="EEEEEE"/>
                <w:sz w:val="18"/>
                <w:szCs w:val="18"/>
              </w:rPr>
              <w:t xml:space="preserve">LLM Inference</w:t>
            </w:r>
          </w:p>
        </w:tc>
        <w:tc>
          <w:tcPr>
            <w:tcW w:type="dxa" w:w="200"/>
            <w:tcBorders>
              <w:top w:val="none" w:color="FFFFFF" w:sz="0"/>
              <w:left w:val="none" w:color="FFFFFF" w:sz="0"/>
              <w:bottom w:val="none" w:color="FFFFFF" w:sz="0"/>
              <w:right w:val="none" w:color="FFFFFF" w:sz="0"/>
            </w:tcBorders>
            <w:shd w:fill="FFFFFF" w:val="clear"/>
            <w:tcMar>
              <w:top w:type="dxa" w:w="140"/>
              <w:left w:type="dxa" w:w="0"/>
              <w:bottom w:type="dxa" w:w="140"/>
              <w:right w:type="dxa" w:w="0"/>
            </w:tcMar>
          </w:tcPr>
          <w:p>
            <w:pPr>
              <w:jc w:val="center"/>
            </w:pPr>
            <w:r>
              <w:rPr>
                <w:rFonts w:ascii="Arial" w:cs="Arial" w:eastAsia="Arial" w:hAnsi="Arial"/>
                <w:b/>
                <w:bCs/>
                <w:color w:val="888888"/>
                <w:sz w:val="28"/>
                <w:szCs w:val="28"/>
              </w:rPr>
              <w:t xml:space="preserve">→</w:t>
            </w:r>
          </w:p>
        </w:tc>
        <w:tc>
          <w:tcPr>
            <w:tcW w:type="dxa" w:w="1872"/>
            <w:tcBorders>
              <w:top w:val="none" w:color="FFFFFF" w:sz="0"/>
              <w:left w:val="none" w:color="FFFFFF" w:sz="0"/>
              <w:bottom w:val="none" w:color="FFFFFF" w:sz="0"/>
              <w:right w:val="none" w:color="FFFFFF" w:sz="0"/>
            </w:tcBorders>
            <w:shd w:fill="C25B00"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Pass 4</w:t>
            </w:r>
          </w:p>
          <w:p>
            <w:pPr>
              <w:jc w:val="center"/>
            </w:pPr>
            <w:r>
              <w:rPr>
                <w:rFonts w:ascii="Arial" w:cs="Arial" w:eastAsia="Arial" w:hAnsi="Arial"/>
                <w:color w:val="EEEEEE"/>
                <w:sz w:val="18"/>
                <w:szCs w:val="18"/>
              </w:rPr>
              <w:t xml:space="preserve">User Override</w:t>
            </w:r>
          </w:p>
        </w:tc>
        <w:tc>
          <w:tcPr>
            <w:tcW w:type="dxa" w:w="200"/>
            <w:tcBorders>
              <w:top w:val="none" w:color="FFFFFF" w:sz="0"/>
              <w:left w:val="none" w:color="FFFFFF" w:sz="0"/>
              <w:bottom w:val="none" w:color="FFFFFF" w:sz="0"/>
              <w:right w:val="none" w:color="FFFFFF" w:sz="0"/>
            </w:tcBorders>
            <w:shd w:fill="FFFFFF" w:val="clear"/>
            <w:tcMar>
              <w:top w:type="dxa" w:w="140"/>
              <w:left w:type="dxa" w:w="0"/>
              <w:bottom w:type="dxa" w:w="140"/>
              <w:right w:type="dxa" w:w="0"/>
            </w:tcMar>
          </w:tcPr>
          <w:p>
            <w:pPr>
              <w:jc w:val="center"/>
            </w:pPr>
            <w:r>
              <w:rPr>
                <w:rFonts w:ascii="Arial" w:cs="Arial" w:eastAsia="Arial" w:hAnsi="Arial"/>
                <w:b/>
                <w:bCs/>
                <w:color w:val="888888"/>
                <w:sz w:val="28"/>
                <w:szCs w:val="28"/>
              </w:rPr>
              <w:t xml:space="preserve">→</w:t>
            </w:r>
          </w:p>
        </w:tc>
        <w:tc>
          <w:tcPr>
            <w:tcW w:type="dxa" w:w="1872"/>
            <w:tcBorders>
              <w:top w:val="none" w:color="FFFFFF" w:sz="0"/>
              <w:left w:val="none" w:color="FFFFFF" w:sz="0"/>
              <w:bottom w:val="none" w:color="FFFFFF" w:sz="0"/>
              <w:right w:val="none" w:color="FFFFFF" w:sz="0"/>
            </w:tcBorders>
            <w:shd w:fill="8B1A1A"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Pass 5</w:t>
            </w:r>
          </w:p>
          <w:p>
            <w:pPr>
              <w:jc w:val="center"/>
            </w:pPr>
            <w:r>
              <w:rPr>
                <w:rFonts w:ascii="Arial" w:cs="Arial" w:eastAsia="Arial" w:hAnsi="Arial"/>
                <w:color w:val="EEEEEE"/>
                <w:sz w:val="18"/>
                <w:szCs w:val="18"/>
              </w:rPr>
              <w:t xml:space="preserve">Shared-Key</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vAlign w:val="center"/>
          </w:tcPr>
          <w:p>
            <w:pPr>
              <w:jc w:val="center"/>
            </w:pPr>
            <w:r>
              <w:rPr>
                <w:rFonts w:ascii="Arial" w:cs="Arial" w:eastAsia="Arial" w:hAnsi="Arial"/>
                <w:b/>
                <w:bCs/>
                <w:color w:val="B8860B"/>
                <w:sz w:val="22"/>
                <w:szCs w:val="22"/>
              </w:rPr>
              <w:t xml:space="preserve">KEY RULE</w:t>
            </w:r>
          </w:p>
        </w:tc>
        <w:tc>
          <w:tcPr>
            <w:tcW w:type="dxa" w:w="8160"/>
            <w:tcBorders>
              <w:top w:val="none" w:color="FFFFFF" w:sz="0"/>
              <w:left w:val="none" w:color="FFFFFF" w:sz="0"/>
              <w:bottom w:val="none" w:color="FFFFFF" w:sz="0"/>
              <w:right w:val="none" w:color="FFFFFF" w:sz="0"/>
            </w:tcBorders>
            <w:shd w:fill="FFF8E1" w:val="clear"/>
            <w:tcMar>
              <w:top w:type="dxa" w:w="120"/>
              <w:left w:type="dxa" w:w="200"/>
              <w:bottom w:type="dxa" w:w="120"/>
              <w:right w:type="dxa" w:w="160"/>
            </w:tcMar>
          </w:tcPr>
          <w:p>
            <w:r>
              <w:rPr>
                <w:rFonts w:ascii="Arial" w:cs="Arial" w:eastAsia="Arial" w:hAnsi="Arial"/>
                <w:color w:val="222222"/>
                <w:sz w:val="22"/>
                <w:szCs w:val="22"/>
              </w:rPr>
              <w:t xml:space="preserve">Every column goes through passes in order. The moment a match is found, that column is resolved and the later passes are skipped. Only unresolved columns move to the next pass.</w:t>
            </w:r>
          </w:p>
        </w:tc>
      </w:tr>
    </w:tbl>
    <w:p>
      <w:pPr>
        <w:spacing w:before="200" w:after="200"/>
      </w:pPr>
      <w:r>
        <w:t xml:space="preserve"/>
      </w:r>
    </w:p>
    <w:p>
      <w:pPr>
        <w:pStyle w:val="Heading2"/>
        <w:spacing w:before="320" w:after="120"/>
      </w:pPr>
      <w:r>
        <w:rPr>
          <w:rFonts w:ascii="Arial" w:cs="Arial" w:eastAsia="Arial" w:hAnsi="Arial"/>
          <w:b/>
          <w:bCs/>
          <w:color w:val="2E74B5"/>
          <w:sz w:val="28"/>
          <w:szCs w:val="28"/>
        </w:rPr>
        <w:t xml:space="preserve">Before Any Pass: Column Name Normalisation</w:t>
      </w:r>
    </w:p>
    <w:p>
      <w:pPr>
        <w:spacing w:before="80" w:after="100"/>
      </w:pPr>
      <w:r>
        <w:rPr>
          <w:rFonts w:ascii="Arial" w:cs="Arial" w:eastAsia="Arial" w:hAnsi="Arial"/>
          <w:color w:val="222222"/>
          <w:sz w:val="22"/>
          <w:szCs w:val="22"/>
        </w:rPr>
        <w:t xml:space="preserve">Before any matching is attempted, the source column name is normalised. This removes noise caused by capitalisation, spaces, and punctuation differences, so that 'Invoice Amount', 'invoice_amount', 'INVOICE AMOUNT' and 'Invoice-Amount' are all treated identically.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Raw Source Column Name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After Normalisation</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 Amount (GBP)</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invoiceamountgbp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INV_DATE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inv_date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Due  Date  </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duedate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Account-Number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accountnumber</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payment_due_date</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payment_due_date</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7145"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A</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E7145"/>
                <w:sz w:val="28"/>
                <w:szCs w:val="28"/>
              </w:rPr>
              <w:t xml:space="preserve">Pass 1: Exact Lookup</w:t>
            </w:r>
          </w:p>
          <w:p>
            <w:r>
              <w:rPr>
                <w:rFonts w:ascii="Arial" w:cs="Arial" w:eastAsia="Arial" w:hAnsi="Arial"/>
                <w:i/>
                <w:iCs/>
                <w:color w:val="666666"/>
                <w:sz w:val="20"/>
                <w:szCs w:val="20"/>
              </w:rPr>
              <w:t xml:space="preserve">Confidence = 100  |  No LLM cost  |  Fastest path</w:t>
            </w:r>
          </w:p>
        </w:tc>
      </w:tr>
    </w:tbl>
    <w:p>
      <w:pPr>
        <w:spacing w:before="200" w:after="100"/>
      </w:pPr>
      <w:r>
        <w:t xml:space="preserve"/>
      </w:r>
    </w:p>
    <w:p>
      <w:pPr>
        <w:spacing w:before="240" w:after="80"/>
      </w:pPr>
      <w:r>
        <w:rPr>
          <w:rFonts w:ascii="Arial" w:cs="Arial" w:eastAsia="Arial" w:hAnsi="Arial"/>
          <w:b/>
          <w:bCs/>
          <w:color w:val="404040"/>
          <w:sz w:val="24"/>
          <w:szCs w:val="24"/>
        </w:rPr>
        <w:t xml:space="preserve">How it works</w:t>
      </w:r>
    </w:p>
    <w:p>
      <w:pPr>
        <w:spacing w:before="80" w:after="100"/>
      </w:pPr>
      <w:r>
        <w:rPr>
          <w:rFonts w:ascii="Arial" w:cs="Arial" w:eastAsia="Arial" w:hAnsi="Arial"/>
          <w:color w:val="222222"/>
          <w:sz w:val="22"/>
          <w:szCs w:val="22"/>
        </w:rPr>
        <w:t xml:space="preserve">The platform maintains a lookup_table.csv file — a hand-curated list of known source column name variants and their canonical mappings. This file is built up over time as the platform processes more files from more contributors.</w:t>
      </w:r>
    </w:p>
    <w:p>
      <w:pPr>
        <w:spacing w:before="100" w:after="100"/>
      </w:pPr>
      <w:r>
        <w:t xml:space="preserve"/>
      </w:r>
    </w:p>
    <w:p>
      <w:pPr>
        <w:spacing w:before="80" w:after="100"/>
      </w:pPr>
      <w:r>
        <w:rPr>
          <w:rFonts w:ascii="Arial" w:cs="Arial" w:eastAsia="Arial" w:hAnsi="Arial"/>
          <w:color w:val="222222"/>
          <w:sz w:val="22"/>
          <w:szCs w:val="22"/>
        </w:rPr>
        <w:t xml:space="preserve">The normalised source column name is compared directly against every entry in the lookup table. If there is an exact string match, the mapping is immediately accepted at confidence 100. No LLM call is made. No fuzzy calculation is performed.</w:t>
      </w:r>
    </w:p>
    <w:p>
      <w:pPr>
        <w:spacing w:before="100" w:after="100"/>
      </w:pPr>
      <w:r>
        <w:t xml:space="preserve"/>
      </w:r>
    </w:p>
    <w:p>
      <w:pPr>
        <w:spacing w:before="240" w:after="80"/>
      </w:pPr>
      <w:r>
        <w:rPr>
          <w:rFonts w:ascii="Arial" w:cs="Arial" w:eastAsia="Arial" w:hAnsi="Arial"/>
          <w:b/>
          <w:bCs/>
          <w:color w:val="404040"/>
          <w:sz w:val="24"/>
          <w:szCs w:val="24"/>
        </w:rPr>
        <w:t xml:space="preserve">The lookup_table.csv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source_column_variant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canonical_table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canonical_column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inv_no</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invoicenum</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payment_due_date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Due_Date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Due_Date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Due_Date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cust_ref</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TRD_CUSTOMER</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Account_Number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account_id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TRD_CUSTOMER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Account_Number</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inv_amt</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Invoice_Amount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amount_due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Invoice_Amount</w:t>
            </w:r>
          </w:p>
        </w:tc>
      </w:tr>
    </w:tbl>
    <w:p>
      <w:pPr>
        <w:spacing w:before="100" w:after="200"/>
      </w:pPr>
      <w:r>
        <w:t xml:space="preserve"/>
      </w:r>
    </w:p>
    <w:p>
      <w:pPr>
        <w:spacing w:before="240" w:after="80"/>
      </w:pPr>
      <w:r>
        <w:rPr>
          <w:rFonts w:ascii="Arial" w:cs="Arial" w:eastAsia="Arial" w:hAnsi="Arial"/>
          <w:b/>
          <w:bCs/>
          <w:color w:val="404040"/>
          <w:sz w:val="24"/>
          <w:szCs w:val="24"/>
        </w:rPr>
        <w:t xml:space="preserve">Worked Example</w:t>
      </w:r>
    </w:p>
    <w:p>
      <w:pPr>
        <w:spacing w:before="80" w:after="100"/>
      </w:pPr>
      <w:r>
        <w:rPr>
          <w:rFonts w:ascii="Arial" w:cs="Arial" w:eastAsia="Arial" w:hAnsi="Arial"/>
          <w:color w:val="222222"/>
          <w:sz w:val="22"/>
          <w:szCs w:val="22"/>
        </w:rPr>
        <w:t xml:space="preserve">Supplier A uploads a CSV with these columns: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Column (Raw)</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Normalised</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Lookup Match?</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Mapped To</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Inv_No</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inv_no</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 YES</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TRD_INVOICE.Invoice_Number</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100</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doe</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TRD_INVOICE.Due_Date</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100</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Inv_Amt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inv_amt</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 YES</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TRD_INVOICE.Invoice_Amount</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100</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Trans_Reference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trans_reference</w:t>
            </w:r>
          </w:p>
        </w:tc>
        <w:tc>
          <w:tcPr>
            <w:tcW w:type="dxa" w:w="1872"/>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b/>
                <w:bCs/>
                <w:color w:val="B30000"/>
                <w:sz w:val="20"/>
                <w:szCs w:val="20"/>
              </w:rPr>
              <w:t xml:space="preserve">✗ NO</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Pass to Fuzzy Match</w:t>
            </w:r>
          </w:p>
        </w:tc>
        <w:tc>
          <w:tcPr>
            <w:tcW w:type="dxa" w:w="1872"/>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888888"/>
                <w:sz w:val="20"/>
                <w:szCs w:val="20"/>
              </w:rPr>
              <w:t xml:space="preserve">—</w:t>
            </w:r>
          </w:p>
        </w:tc>
      </w:tr>
    </w:tbl>
    <w:p>
      <w:pPr>
        <w:spacing w:before="10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0DC" w:val="clear"/>
            <w:tcMar>
              <w:top w:type="dxa" w:w="120"/>
              <w:left w:type="dxa" w:w="160"/>
              <w:bottom w:type="dxa" w:w="120"/>
              <w:right w:type="dxa" w:w="160"/>
            </w:tcMar>
            <w:vAlign w:val="center"/>
          </w:tcPr>
          <w:p>
            <w:pPr>
              <w:jc w:val="center"/>
            </w:pPr>
            <w:r>
              <w:rPr>
                <w:rFonts w:ascii="Arial" w:cs="Arial" w:eastAsia="Arial" w:hAnsi="Arial"/>
                <w:b/>
                <w:bCs/>
                <w:color w:val="1E7145"/>
                <w:sz w:val="22"/>
                <w:szCs w:val="22"/>
              </w:rPr>
              <w:t xml:space="preserve">WHY IT MATTERS</w:t>
            </w:r>
          </w:p>
        </w:tc>
        <w:tc>
          <w:tcPr>
            <w:tcW w:type="dxa" w:w="8160"/>
            <w:tcBorders>
              <w:top w:val="none" w:color="FFFFFF" w:sz="0"/>
              <w:left w:val="none" w:color="FFFFFF" w:sz="0"/>
              <w:bottom w:val="none" w:color="FFFFFF" w:sz="0"/>
              <w:right w:val="none" w:color="FFFFFF" w:sz="0"/>
            </w:tcBorders>
            <w:shd w:fill="D5F0DC" w:val="clear"/>
            <w:tcMar>
              <w:top w:type="dxa" w:w="120"/>
              <w:left w:type="dxa" w:w="200"/>
              <w:bottom w:type="dxa" w:w="120"/>
              <w:right w:type="dxa" w:w="160"/>
            </w:tcMar>
          </w:tcPr>
          <w:p>
            <w:r>
              <w:rPr>
                <w:rFonts w:ascii="Arial" w:cs="Arial" w:eastAsia="Arial" w:hAnsi="Arial"/>
                <w:color w:val="222222"/>
                <w:sz w:val="22"/>
                <w:szCs w:val="22"/>
              </w:rPr>
              <w:t xml:space="preserve">Exact lookup has zero LLM cost. At 10,000 files/day, if 80% of columns are resolved here, you avoid paying for ~80% of LLM API calls. Growing the lookup table reduces cost over time.</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4B5"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B</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2E74B5"/>
                <w:sz w:val="28"/>
                <w:szCs w:val="28"/>
              </w:rPr>
              <w:t xml:space="preserve">Pass 2: Fuzzy Match</w:t>
            </w:r>
          </w:p>
          <w:p>
            <w:r>
              <w:rPr>
                <w:rFonts w:ascii="Arial" w:cs="Arial" w:eastAsia="Arial" w:hAnsi="Arial"/>
                <w:i/>
                <w:iCs/>
                <w:color w:val="666666"/>
                <w:sz w:val="20"/>
                <w:szCs w:val="20"/>
              </w:rPr>
              <w:t xml:space="preserve">Confidence = Levenshtein Similarity × 0.91  |  No LLM cost  |  Handles typos &amp; variants</w:t>
            </w:r>
          </w:p>
        </w:tc>
      </w:tr>
    </w:tbl>
    <w:p>
      <w:pPr>
        <w:spacing w:before="200" w:after="100"/>
      </w:pPr>
      <w:r>
        <w:t xml:space="preserve"/>
      </w:r>
    </w:p>
    <w:p>
      <w:pPr>
        <w:spacing w:before="240" w:after="80"/>
      </w:pPr>
      <w:r>
        <w:rPr>
          <w:rFonts w:ascii="Arial" w:cs="Arial" w:eastAsia="Arial" w:hAnsi="Arial"/>
          <w:b/>
          <w:bCs/>
          <w:color w:val="404040"/>
          <w:sz w:val="24"/>
          <w:szCs w:val="24"/>
        </w:rPr>
        <w:t xml:space="preserve">How it works</w:t>
      </w:r>
    </w:p>
    <w:p>
      <w:pPr>
        <w:spacing w:before="80" w:after="100"/>
      </w:pPr>
      <w:r>
        <w:rPr>
          <w:rFonts w:ascii="Arial" w:cs="Arial" w:eastAsia="Arial" w:hAnsi="Arial"/>
          <w:color w:val="222222"/>
          <w:sz w:val="22"/>
          <w:szCs w:val="22"/>
        </w:rPr>
        <w:t xml:space="preserve">Fuzzy matching handles cases where the source column name is close to a canonical column name but not an exact match — typos, abbreviations, extra underscores, or slightly different wording.</w:t>
      </w:r>
    </w:p>
    <w:p>
      <w:pPr>
        <w:spacing w:before="100" w:after="100"/>
      </w:pPr>
      <w:r>
        <w:t xml:space="preserve"/>
      </w:r>
    </w:p>
    <w:p>
      <w:pPr>
        <w:spacing w:before="80" w:after="100"/>
      </w:pPr>
      <w:r>
        <w:rPr>
          <w:rFonts w:ascii="Arial" w:cs="Arial" w:eastAsia="Arial" w:hAnsi="Arial"/>
          <w:color w:val="222222"/>
          <w:sz w:val="22"/>
          <w:szCs w:val="22"/>
        </w:rPr>
        <w:t xml:space="preserve">The platform uses the Levenshtein distance algorithm to calculate how similar the normalised source column name is to each canonical column name. The similarity score ranges from 0.0 (completely different) to 1.0 (identical).</w:t>
      </w:r>
    </w:p>
    <w:p>
      <w:pPr>
        <w:spacing w:before="100" w:after="100"/>
      </w:pPr>
      <w:r>
        <w:t xml:space="preserve"/>
      </w:r>
    </w:p>
    <w:p>
      <w:pPr>
        <w:spacing w:before="240" w:after="80"/>
      </w:pPr>
      <w:r>
        <w:rPr>
          <w:rFonts w:ascii="Arial" w:cs="Arial" w:eastAsia="Arial" w:hAnsi="Arial"/>
          <w:b/>
          <w:bCs/>
          <w:color w:val="404040"/>
          <w:sz w:val="24"/>
          <w:szCs w:val="24"/>
        </w:rPr>
        <w:t xml:space="preserve">The confidence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vAlign w:val="center"/>
          </w:tcPr>
          <w:p>
            <w:pPr>
              <w:jc w:val="center"/>
            </w:pPr>
            <w:r>
              <w:rPr>
                <w:rFonts w:ascii="Arial" w:cs="Arial" w:eastAsia="Arial" w:hAnsi="Arial"/>
                <w:b/>
                <w:bCs/>
                <w:color w:val="2E74B5"/>
                <w:sz w:val="22"/>
                <w:szCs w:val="22"/>
              </w:rPr>
              <w:t xml:space="preserve">FORMULA</w:t>
            </w:r>
          </w:p>
        </w:tc>
        <w:tc>
          <w:tcPr>
            <w:tcW w:type="dxa" w:w="8160"/>
            <w:tcBorders>
              <w:top w:val="none" w:color="FFFFFF" w:sz="0"/>
              <w:left w:val="none" w:color="FFFFFF" w:sz="0"/>
              <w:bottom w:val="none" w:color="FFFFFF" w:sz="0"/>
              <w:right w:val="none" w:color="FFFFFF" w:sz="0"/>
            </w:tcBorders>
            <w:shd w:fill="EBF3FB" w:val="clear"/>
            <w:tcMar>
              <w:top w:type="dxa" w:w="120"/>
              <w:left w:type="dxa" w:w="200"/>
              <w:bottom w:type="dxa" w:w="120"/>
              <w:right w:type="dxa" w:w="160"/>
            </w:tcMar>
          </w:tcPr>
          <w:p>
            <w:r>
              <w:rPr>
                <w:rFonts w:ascii="Arial" w:cs="Arial" w:eastAsia="Arial" w:hAnsi="Arial"/>
                <w:color w:val="222222"/>
                <w:sz w:val="22"/>
                <w:szCs w:val="22"/>
              </w:rPr>
              <w:t xml:space="preserve">Confidence = Levenshtein Similarity Score × 0.91 × 100
The 0.91 multiplier caps fuzzy confidence at 91%, distinguishing it from exact lookup (100%). This ensures the system always knows how a mapping was resolved.</w:t>
            </w:r>
          </w:p>
        </w:tc>
      </w:tr>
    </w:tbl>
    <w:p>
      <w:pPr>
        <w:spacing w:before="100" w:after="200"/>
      </w:pPr>
      <w:r>
        <w:t xml:space="preserve"/>
      </w:r>
    </w:p>
    <w:p>
      <w:pPr>
        <w:spacing w:before="240" w:after="80"/>
      </w:pPr>
      <w:r>
        <w:rPr>
          <w:rFonts w:ascii="Arial" w:cs="Arial" w:eastAsia="Arial" w:hAnsi="Arial"/>
          <w:b/>
          <w:bCs/>
          <w:color w:val="404040"/>
          <w:sz w:val="24"/>
          <w:szCs w:val="24"/>
        </w:rPr>
        <w:t xml:space="preserve">What is Levenshtein Distance?</w:t>
      </w:r>
    </w:p>
    <w:p>
      <w:pPr>
        <w:spacing w:before="80" w:after="100"/>
      </w:pPr>
      <w:r>
        <w:rPr>
          <w:rFonts w:ascii="Arial" w:cs="Arial" w:eastAsia="Arial" w:hAnsi="Arial"/>
          <w:color w:val="222222"/>
          <w:sz w:val="22"/>
          <w:szCs w:val="22"/>
        </w:rPr>
        <w:t xml:space="preserve">Levenshtein distance counts the minimum number of single-character operations needed to transform one string into another. The three operations are: insert a character, delete a character, or replace a character.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Column</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Canonical Column</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Edit Operations Needed</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Similarity Score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InvoiceNum</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Insert '_', insert 'b', insert 'e', insert 'r' = 4 edits</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0.71</w:t>
            </w:r>
          </w:p>
        </w:tc>
        <w:tc>
          <w:tcPr>
            <w:tcW w:type="dxa" w:w="1872"/>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color w:val="C25B00"/>
                <w:sz w:val="20"/>
                <w:szCs w:val="20"/>
              </w:rPr>
              <w:t xml:space="preserve">65%</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Ivoice_Number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Insert 'n' = 1 edit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0.92</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color w:val="1E7145"/>
                <w:sz w:val="20"/>
                <w:szCs w:val="20"/>
              </w:rPr>
              <w:t xml:space="preserve">84%</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Invoice_Amnt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Invoice_Amount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Insert 'o', insert 'u' = 2 edits</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0.86</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color w:val="1E7145"/>
                <w:sz w:val="20"/>
                <w:szCs w:val="20"/>
              </w:rPr>
              <w:t xml:space="preserve">78%</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DueDate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Due_Date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Insert '_' = 1 edit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0.89</w:t>
            </w:r>
          </w:p>
        </w:tc>
        <w:tc>
          <w:tcPr>
            <w:tcW w:type="dxa" w:w="1872"/>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color w:val="1E7145"/>
                <w:sz w:val="20"/>
                <w:szCs w:val="20"/>
              </w:rPr>
              <w:t xml:space="preserve">81%</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Invoice_Amount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7+ edits</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0.21</w:t>
            </w:r>
          </w:p>
        </w:tc>
        <w:tc>
          <w:tcPr>
            <w:tcW w:type="dxa" w:w="1872"/>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B30000"/>
                <w:sz w:val="20"/>
                <w:szCs w:val="20"/>
              </w:rPr>
              <w:t xml:space="preserve">19% — FAIL</w:t>
            </w:r>
          </w:p>
        </w:tc>
      </w:tr>
    </w:tbl>
    <w:p>
      <w:pPr>
        <w:spacing w:before="100" w:after="150"/>
      </w:pPr>
      <w:r>
        <w:t xml:space="preserve"/>
      </w:r>
    </w:p>
    <w:p>
      <w:pPr>
        <w:spacing w:before="240" w:after="80"/>
      </w:pPr>
      <w:r>
        <w:rPr>
          <w:rFonts w:ascii="Arial" w:cs="Arial" w:eastAsia="Arial" w:hAnsi="Arial"/>
          <w:b/>
          <w:bCs/>
          <w:color w:val="404040"/>
          <w:sz w:val="24"/>
          <w:szCs w:val="24"/>
        </w:rPr>
        <w:t xml:space="preserve">The acceptance threshold</w:t>
      </w:r>
    </w:p>
    <w:p>
      <w:pPr>
        <w:spacing w:before="80" w:after="100"/>
      </w:pPr>
      <w:r>
        <w:rPr>
          <w:rFonts w:ascii="Arial" w:cs="Arial" w:eastAsia="Arial" w:hAnsi="Arial"/>
          <w:color w:val="222222"/>
          <w:sz w:val="22"/>
          <w:szCs w:val="22"/>
        </w:rPr>
        <w:t xml:space="preserve">Fuzzy matching only accepts a result if the similarity score is ≥ 0.70 (configurable in system_config.json). Below that, the column is considered too different and is passed to LLM inference.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Similarity Score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 0.70</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64%–91%</w:t>
            </w:r>
          </w:p>
        </w:tc>
        <w:tc>
          <w:tcPr>
            <w:tcW w:type="dxa" w:w="3120"/>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color w:val="1E7145"/>
                <w:sz w:val="20"/>
                <w:szCs w:val="20"/>
              </w:rPr>
              <w:t xml:space="preserve">ACCEPTED — mapped automatically</w:t>
            </w:r>
          </w:p>
        </w:tc>
      </w:tr>
      <w:tr>
        <w:tc>
          <w:tcPr>
            <w:tcW w:type="dxa" w:w="312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b/>
                <w:bCs/>
                <w:color w:val="B30000"/>
                <w:sz w:val="20"/>
                <w:szCs w:val="20"/>
              </w:rPr>
              <w:t xml:space="preserve">&lt; 0.70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&lt; 64%</w:t>
            </w:r>
          </w:p>
        </w:tc>
        <w:tc>
          <w:tcPr>
            <w:tcW w:type="dxa" w:w="312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B30000"/>
                <w:sz w:val="20"/>
                <w:szCs w:val="20"/>
              </w:rPr>
              <w:t xml:space="preserve">REJECTED — moves to Pass 3 (LLM)</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B2D8B"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C</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7B2D8B"/>
                <w:sz w:val="28"/>
                <w:szCs w:val="28"/>
              </w:rPr>
              <w:t xml:space="preserve">Pass 3: LLM Inference</w:t>
            </w:r>
          </w:p>
          <w:p>
            <w:r>
              <w:rPr>
                <w:rFonts w:ascii="Arial" w:cs="Arial" w:eastAsia="Arial" w:hAnsi="Arial"/>
                <w:i/>
                <w:iCs/>
                <w:color w:val="666666"/>
                <w:sz w:val="20"/>
                <w:szCs w:val="20"/>
              </w:rPr>
              <w:t xml:space="preserve">Confidence = 55%–91%  |  API cost applies  |  Handles unknown/ambiguous columns</w:t>
            </w:r>
          </w:p>
        </w:tc>
      </w:tr>
    </w:tbl>
    <w:p>
      <w:pPr>
        <w:spacing w:before="200" w:after="100"/>
      </w:pPr>
      <w:r>
        <w:t xml:space="preserve"/>
      </w:r>
    </w:p>
    <w:p>
      <w:pPr>
        <w:spacing w:before="240" w:after="80"/>
      </w:pPr>
      <w:r>
        <w:rPr>
          <w:rFonts w:ascii="Arial" w:cs="Arial" w:eastAsia="Arial" w:hAnsi="Arial"/>
          <w:b/>
          <w:bCs/>
          <w:color w:val="404040"/>
          <w:sz w:val="24"/>
          <w:szCs w:val="24"/>
        </w:rPr>
        <w:t xml:space="preserve">How it works</w:t>
      </w:r>
    </w:p>
    <w:p>
      <w:pPr>
        <w:spacing w:before="80" w:after="100"/>
      </w:pPr>
      <w:r>
        <w:rPr>
          <w:rFonts w:ascii="Arial" w:cs="Arial" w:eastAsia="Arial" w:hAnsi="Arial"/>
          <w:color w:val="222222"/>
          <w:sz w:val="22"/>
          <w:szCs w:val="22"/>
        </w:rPr>
        <w:t xml:space="preserve">When exact lookup and fuzzy matching both fail, the LLM is called as a last automated resort. The LLM receives rich context — the full canonical model with column descriptions, the lookup table context, and the unresolved source column name — and reasons about the best possible match.</w:t>
      </w:r>
    </w:p>
    <w:p>
      <w:pPr>
        <w:spacing w:before="100" w:after="100"/>
      </w:pPr>
      <w:r>
        <w:t xml:space="preserve"/>
      </w:r>
    </w:p>
    <w:p>
      <w:pPr>
        <w:spacing w:before="80" w:after="100"/>
      </w:pPr>
      <w:r>
        <w:rPr>
          <w:rFonts w:ascii="Arial" w:cs="Arial" w:eastAsia="Arial" w:hAnsi="Arial"/>
          <w:color w:val="222222"/>
          <w:sz w:val="22"/>
          <w:szCs w:val="22"/>
        </w:rPr>
        <w:t xml:space="preserve">This is the only pass that costs money. The platform only calls the LLM for columns that could not be resolved by the first two passes.</w:t>
      </w:r>
    </w:p>
    <w:p>
      <w:pPr>
        <w:spacing w:before="100" w:after="100"/>
      </w:pPr>
      <w:r>
        <w:t xml:space="preserve"/>
      </w:r>
    </w:p>
    <w:p>
      <w:pPr>
        <w:spacing w:before="240" w:after="80"/>
      </w:pPr>
      <w:r>
        <w:rPr>
          <w:rFonts w:ascii="Arial" w:cs="Arial" w:eastAsia="Arial" w:hAnsi="Arial"/>
          <w:b/>
          <w:bCs/>
          <w:color w:val="404040"/>
          <w:sz w:val="24"/>
          <w:szCs w:val="24"/>
        </w:rPr>
        <w:t xml:space="preserve">What is sent to the LLM? (the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3EAF8" w:val="clear"/>
            <w:tcMar>
              <w:top w:type="dxa" w:w="120"/>
              <w:left w:type="dxa" w:w="160"/>
              <w:bottom w:type="dxa" w:w="120"/>
              <w:right w:type="dxa" w:w="160"/>
            </w:tcMar>
            <w:vAlign w:val="center"/>
          </w:tcPr>
          <w:p>
            <w:pPr>
              <w:jc w:val="center"/>
            </w:pPr>
            <w:r>
              <w:rPr>
                <w:rFonts w:ascii="Arial" w:cs="Arial" w:eastAsia="Arial" w:hAnsi="Arial"/>
                <w:b/>
                <w:bCs/>
                <w:color w:val="7B2D8B"/>
                <w:sz w:val="22"/>
                <w:szCs w:val="22"/>
              </w:rPr>
              <w:t xml:space="preserve">SYSTEM PROMPT STRUCTURE</w:t>
            </w:r>
          </w:p>
        </w:tc>
        <w:tc>
          <w:tcPr>
            <w:tcW w:type="dxa" w:w="8160"/>
            <w:tcBorders>
              <w:top w:val="none" w:color="FFFFFF" w:sz="0"/>
              <w:left w:val="none" w:color="FFFFFF" w:sz="0"/>
              <w:bottom w:val="none" w:color="FFFFFF" w:sz="0"/>
              <w:right w:val="none" w:color="FFFFFF" w:sz="0"/>
            </w:tcBorders>
            <w:shd w:fill="F3EAF8" w:val="clear"/>
            <w:tcMar>
              <w:top w:type="dxa" w:w="120"/>
              <w:left w:type="dxa" w:w="200"/>
              <w:bottom w:type="dxa" w:w="120"/>
              <w:right w:type="dxa" w:w="160"/>
            </w:tcMar>
          </w:tcPr>
          <w:p>
            <w:r>
              <w:rPr>
                <w:rFonts w:ascii="Arial" w:cs="Arial" w:eastAsia="Arial" w:hAnsi="Arial"/>
                <w:color w:val="222222"/>
                <w:sz w:val="22"/>
                <w:szCs w:val="22"/>
              </w:rPr>
              <w:t xml:space="preserve">1. ROLE: You are a data mapping expert. Map source column names to canonical columns.
2. CANONICAL MODEL: Full list of all canonical columns with their data type, description, and examples.
3. LOOKUP CONTEXT: Existing known variants for reference.
4. TASK: Given source column name '{column}', return the best match in JSON format.
5. OUTPUT FORMAT: { canonical_table, canonical_column, confidence (0-100), reasoning }</w:t>
            </w:r>
          </w:p>
        </w:tc>
      </w:tr>
    </w:tbl>
    <w:p>
      <w:pPr>
        <w:spacing w:before="100" w:after="200"/>
      </w:pPr>
      <w:r>
        <w:t xml:space="preserve"/>
      </w:r>
    </w:p>
    <w:p>
      <w:pPr>
        <w:spacing w:before="240" w:after="80"/>
      </w:pPr>
      <w:r>
        <w:rPr>
          <w:rFonts w:ascii="Arial" w:cs="Arial" w:eastAsia="Arial" w:hAnsi="Arial"/>
          <w:b/>
          <w:bCs/>
          <w:color w:val="404040"/>
          <w:sz w:val="24"/>
          <w:szCs w:val="24"/>
        </w:rPr>
        <w:t xml:space="preserve">What the LLM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LLM JSON Response Field</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Platform Uses It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canonical_table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Maps the column to this table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canonical_column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The target column name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confidence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78</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Stored in COLUMN_LINEAGE, used for threshold check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reasoning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Column name 'Ref_Date' likely refers to the date the invoice was issued, matching Invoice_Date semantics.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Displayed in UI, stored in COLUMN_LINEAGE.LLM_Reasoning</w:t>
            </w:r>
          </w:p>
        </w:tc>
      </w:tr>
    </w:tbl>
    <w:p>
      <w:pPr>
        <w:spacing w:before="100" w:after="200"/>
      </w:pPr>
      <w:r>
        <w:t xml:space="preserve"/>
      </w:r>
    </w:p>
    <w:p>
      <w:pPr>
        <w:spacing w:before="240" w:after="80"/>
      </w:pPr>
      <w:r>
        <w:rPr>
          <w:rFonts w:ascii="Arial" w:cs="Arial" w:eastAsia="Arial" w:hAnsi="Arial"/>
          <w:b/>
          <w:bCs/>
          <w:color w:val="404040"/>
          <w:sz w:val="24"/>
          <w:szCs w:val="24"/>
        </w:rPr>
        <w:t xml:space="preserve">The Disambiguation Gate</w:t>
      </w:r>
    </w:p>
    <w:p>
      <w:pPr>
        <w:spacing w:before="80" w:after="100"/>
      </w:pPr>
      <w:r>
        <w:rPr>
          <w:rFonts w:ascii="Arial" w:cs="Arial" w:eastAsia="Arial" w:hAnsi="Arial"/>
          <w:color w:val="222222"/>
          <w:sz w:val="22"/>
          <w:szCs w:val="22"/>
        </w:rPr>
        <w:t xml:space="preserve">If the LLM is uncertain between two possible columns — for example, 'Amount' could be Invoice_Amount or Paid_Amount — and its confidence is below 70%, the disambiguation gate fires. The system stops automated processing for that column and forces human review in the Gradio UI.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b/>
                <w:bCs/>
                <w:color w:val="1E7145"/>
                <w:sz w:val="20"/>
                <w:szCs w:val="20"/>
              </w:rPr>
              <w:t xml:space="preserve">≥ 70%</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Accepted automatically — shown in green in mapping scorecard</w:t>
            </w:r>
          </w:p>
        </w:tc>
      </w:tr>
      <w:tr>
        <w:tc>
          <w:tcPr>
            <w:tcW w:type="dxa" w:w="46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C25B00"/>
                <w:sz w:val="20"/>
                <w:szCs w:val="20"/>
              </w:rPr>
              <w:t xml:space="preserve">55%–69%</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Accepted but flagged AMBER — analyst should review in Gradio UI</w:t>
            </w:r>
          </w:p>
        </w:tc>
      </w:tr>
      <w:tr>
        <w:tc>
          <w:tcPr>
            <w:tcW w:type="dxa" w:w="468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b/>
                <w:bCs/>
                <w:color w:val="B30000"/>
                <w:sz w:val="20"/>
                <w:szCs w:val="20"/>
              </w:rPr>
              <w:t xml:space="preserve">&lt; 55%</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Rejected — flagged LOW_CONFIDENCE_MAPPING — analyst must override in Pass 4</w:t>
            </w:r>
          </w:p>
        </w:tc>
      </w:tr>
    </w:tbl>
    <w:p>
      <w:pPr>
        <w:spacing w:before="100" w:after="150"/>
      </w:pPr>
      <w:r>
        <w:t xml:space="preserve"/>
      </w:r>
    </w:p>
    <w:p>
      <w:pPr>
        <w:spacing w:before="240" w:after="80"/>
      </w:pPr>
      <w:r>
        <w:rPr>
          <w:rFonts w:ascii="Arial" w:cs="Arial" w:eastAsia="Arial" w:hAnsi="Arial"/>
          <w:b/>
          <w:bCs/>
          <w:color w:val="404040"/>
          <w:sz w:val="24"/>
          <w:szCs w:val="24"/>
        </w:rPr>
        <w:t xml:space="preserve">Worked Example</w:t>
      </w:r>
    </w:p>
    <w:p>
      <w:pPr>
        <w:spacing w:before="80" w:after="100"/>
      </w:pPr>
      <w:r>
        <w:rPr>
          <w:rFonts w:ascii="Arial" w:cs="Arial" w:eastAsia="Arial" w:hAnsi="Arial"/>
          <w:color w:val="222222"/>
          <w:sz w:val="22"/>
          <w:szCs w:val="22"/>
        </w:rPr>
        <w:t xml:space="preserve">Source file contains the column 'Ref_Date'. Lookup: no match. Fuzzy: best score 0.48 (too low). LLM is called: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LLM Receives</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LLM Returns</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Source column: 'Ref_Date'</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canonical_table: TRD_INVOICE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 column Invoice_Date description: The date the invoice was issued to the customer.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canonical_column: Invoice_Date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 column Due_Date description: The date by which payment must be received.</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confidence: 78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reasoning: Ref_Date most likely refers to invoice reference date (issue date), not payment due date.</w:t>
            </w:r>
          </w:p>
        </w:tc>
      </w:tr>
    </w:tbl>
    <w:p>
      <w:pPr>
        <w:spacing w:before="10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pPr>
              <w:jc w:val="center"/>
            </w:pPr>
            <w:r>
              <w:rPr>
                <w:rFonts w:ascii="Arial" w:cs="Arial" w:eastAsia="Arial" w:hAnsi="Arial"/>
                <w:b/>
                <w:bCs/>
                <w:color w:val="C25B00"/>
                <w:sz w:val="22"/>
                <w:szCs w:val="22"/>
              </w:rPr>
              <w:t xml:space="preserve">COST CONTROL TIP</w:t>
            </w:r>
          </w:p>
        </w:tc>
        <w:tc>
          <w:tcPr>
            <w:tcW w:type="dxa" w:w="8160"/>
            <w:tcBorders>
              <w:top w:val="none" w:color="FFFFFF" w:sz="0"/>
              <w:left w:val="none" w:color="FFFFFF" w:sz="0"/>
              <w:bottom w:val="none" w:color="FFFFFF" w:sz="0"/>
              <w:right w:val="none" w:color="FFFFFF" w:sz="0"/>
            </w:tcBorders>
            <w:shd w:fill="FFF3E0" w:val="clear"/>
            <w:tcMar>
              <w:top w:type="dxa" w:w="120"/>
              <w:left w:type="dxa" w:w="200"/>
              <w:bottom w:type="dxa" w:w="120"/>
              <w:right w:type="dxa" w:w="160"/>
            </w:tcMar>
          </w:tcPr>
          <w:p>
            <w:r>
              <w:rPr>
                <w:rFonts w:ascii="Arial" w:cs="Arial" w:eastAsia="Arial" w:hAnsi="Arial"/>
                <w:color w:val="222222"/>
                <w:sz w:val="22"/>
                <w:szCs w:val="22"/>
              </w:rPr>
              <w:t xml:space="preserve">LLM inference is only triggered for unresolved columns. If your lookup table has 200 known variants and a supplier file has 15 columns — all already in the lookup table — zero LLM calls are made for that file.</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25B00"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D</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C25B00"/>
                <w:sz w:val="28"/>
                <w:szCs w:val="28"/>
              </w:rPr>
              <w:t xml:space="preserve">Pass 4: User Override via Gradio UI</w:t>
            </w:r>
          </w:p>
          <w:p>
            <w:r>
              <w:rPr>
                <w:rFonts w:ascii="Arial" w:cs="Arial" w:eastAsia="Arial" w:hAnsi="Arial"/>
                <w:i/>
                <w:iCs/>
                <w:color w:val="666666"/>
                <w:sz w:val="20"/>
                <w:szCs w:val="20"/>
              </w:rPr>
              <w:t xml:space="preserve">Confidence = 100  |  Human in the loop  |  Full audit trail</w:t>
            </w:r>
          </w:p>
        </w:tc>
      </w:tr>
    </w:tbl>
    <w:p>
      <w:pPr>
        <w:spacing w:before="200" w:after="100"/>
      </w:pPr>
      <w:r>
        <w:t xml:space="preserve"/>
      </w:r>
    </w:p>
    <w:p>
      <w:pPr>
        <w:spacing w:before="240" w:after="80"/>
      </w:pPr>
      <w:r>
        <w:rPr>
          <w:rFonts w:ascii="Arial" w:cs="Arial" w:eastAsia="Arial" w:hAnsi="Arial"/>
          <w:b/>
          <w:bCs/>
          <w:color w:val="404040"/>
          <w:sz w:val="24"/>
          <w:szCs w:val="24"/>
        </w:rPr>
        <w:t xml:space="preserve">When does this happen?</w:t>
      </w:r>
    </w:p>
    <w:p>
      <w:pPr>
        <w:spacing w:before="80" w:after="100"/>
      </w:pPr>
      <w:r>
        <w:rPr>
          <w:rFonts w:ascii="Arial" w:cs="Arial" w:eastAsia="Arial" w:hAnsi="Arial"/>
          <w:color w:val="222222"/>
          <w:sz w:val="22"/>
          <w:szCs w:val="22"/>
        </w:rPr>
        <w:t xml:space="preserve">User override is triggered in two scenarios:</w:t>
      </w:r>
    </w:p>
    <w:p>
      <w:pPr>
        <w:pStyle w:val="ListParagraph"/>
        <w:numPr>
          <w:ilvl w:val="0"/>
          <w:numId w:val="2"/>
        </w:numPr>
        <w:spacing w:before="60" w:after="60"/>
      </w:pPr>
      <w:r>
        <w:rPr>
          <w:rFonts w:ascii="Arial" w:cs="Arial" w:eastAsia="Arial" w:hAnsi="Arial"/>
          <w:color w:val="222222"/>
          <w:sz w:val="22"/>
          <w:szCs w:val="22"/>
        </w:rPr>
        <w:t xml:space="preserve">The LLM mapped a column but the analyst disagrees with the result and wants to correct it.</w:t>
      </w:r>
    </w:p>
    <w:p>
      <w:pPr>
        <w:pStyle w:val="ListParagraph"/>
        <w:numPr>
          <w:ilvl w:val="0"/>
          <w:numId w:val="2"/>
        </w:numPr>
        <w:spacing w:before="60" w:after="60"/>
      </w:pPr>
      <w:r>
        <w:rPr>
          <w:rFonts w:ascii="Arial" w:cs="Arial" w:eastAsia="Arial" w:hAnsi="Arial"/>
          <w:color w:val="222222"/>
          <w:sz w:val="22"/>
          <w:szCs w:val="22"/>
        </w:rPr>
        <w:t xml:space="preserve">The LLM returned a confidence score below the acceptance threshold (&lt; 55%) — the system cannot auto-map the column and requires human input.</w:t>
      </w:r>
    </w:p>
    <w:p>
      <w:pPr>
        <w:spacing w:before="100" w:after="200"/>
      </w:pPr>
      <w:r>
        <w:t xml:space="preserve"/>
      </w:r>
    </w:p>
    <w:p>
      <w:pPr>
        <w:spacing w:before="240" w:after="80"/>
      </w:pPr>
      <w:r>
        <w:rPr>
          <w:rFonts w:ascii="Arial" w:cs="Arial" w:eastAsia="Arial" w:hAnsi="Arial"/>
          <w:b/>
          <w:bCs/>
          <w:color w:val="404040"/>
          <w:sz w:val="24"/>
          <w:szCs w:val="24"/>
        </w:rPr>
        <w:t xml:space="preserve">How it works in the Gradio UI</w:t>
      </w:r>
    </w:p>
    <w:p>
      <w:pPr>
        <w:spacing w:before="80" w:after="100"/>
      </w:pPr>
      <w:r>
        <w:rPr>
          <w:rFonts w:ascii="Arial" w:cs="Arial" w:eastAsia="Arial" w:hAnsi="Arial"/>
          <w:color w:val="222222"/>
          <w:sz w:val="22"/>
          <w:szCs w:val="22"/>
        </w:rPr>
        <w:t xml:space="preserve">The Column Mapping Scorecard displays every source column with its current mapping, method, and confidence. Columns needing attention are highlighted in amber or red. The analyst sees a row like this: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Column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Mapped To (Table)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Mapped To (Column)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Trans_Ref</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Invoice_Number</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LLM_INFERENCE</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color w:val="C25B00"/>
                <w:sz w:val="20"/>
                <w:szCs w:val="20"/>
              </w:rPr>
              <w:t xml:space="preserve">61% 🟡</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Dropdown available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UNRESOLVED</w:t>
            </w:r>
          </w:p>
        </w:tc>
        <w:tc>
          <w:tcPr>
            <w:tcW w:type="dxa" w:w="156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B30000"/>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Must select</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Cust_ID</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TRD_CUSTOMER</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Account_Number</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FUZZY_MATCH</w:t>
            </w:r>
          </w:p>
        </w:tc>
        <w:tc>
          <w:tcPr>
            <w:tcW w:type="dxa" w:w="1560"/>
            <w:tcBorders>
              <w:top w:val="single" w:color="CCCCCC" w:sz="1"/>
              <w:left w:val="single" w:color="CCCCCC" w:sz="1"/>
              <w:bottom w:val="single" w:color="CCCCCC" w:sz="1"/>
              <w:right w:val="single" w:color="CCCCCC" w:sz="1"/>
            </w:tcBorders>
            <w:shd w:fill="D5F0DC" w:val="clear"/>
            <w:tcMar>
              <w:top w:type="dxa" w:w="100"/>
              <w:left w:type="dxa" w:w="140"/>
              <w:bottom w:type="dxa" w:w="100"/>
              <w:right w:type="dxa" w:w="140"/>
            </w:tcMar>
          </w:tcPr>
          <w:p>
            <w:r>
              <w:rPr>
                <w:rFonts w:ascii="Arial" w:cs="Arial" w:eastAsia="Arial" w:hAnsi="Arial"/>
                <w:color w:val="1E7145"/>
                <w:sz w:val="20"/>
                <w:szCs w:val="20"/>
              </w:rPr>
              <w:t xml:space="preserve">82% 🟢</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Optional override</w:t>
            </w:r>
          </w:p>
        </w:tc>
      </w:tr>
    </w:tbl>
    <w:p>
      <w:pPr>
        <w:spacing w:before="100" w:after="200"/>
      </w:pPr>
      <w:r>
        <w:t xml:space="preserve"/>
      </w:r>
    </w:p>
    <w:p>
      <w:pPr>
        <w:spacing w:before="240" w:after="80"/>
      </w:pPr>
      <w:r>
        <w:rPr>
          <w:rFonts w:ascii="Arial" w:cs="Arial" w:eastAsia="Arial" w:hAnsi="Arial"/>
          <w:b/>
          <w:bCs/>
          <w:color w:val="404040"/>
          <w:sz w:val="24"/>
          <w:szCs w:val="24"/>
        </w:rPr>
        <w:t xml:space="preserve">The Override Dropdowns</w:t>
      </w:r>
    </w:p>
    <w:p>
      <w:pPr>
        <w:spacing w:before="80" w:after="100"/>
      </w:pPr>
      <w:r>
        <w:rPr>
          <w:rFonts w:ascii="Arial" w:cs="Arial" w:eastAsia="Arial" w:hAnsi="Arial"/>
          <w:color w:val="222222"/>
          <w:sz w:val="22"/>
          <w:szCs w:val="22"/>
        </w:rPr>
        <w:t xml:space="preserve">For any row, the analyst can select from two dropdowns: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Dropdown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 Table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All domain tables: TRD_INVOICE, TRD_CUSTOMER</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Select: TRD_INVOICE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 Column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All columns in the selected table (filtered dynamically)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Select: Invoice_Amount</w:t>
            </w:r>
          </w:p>
        </w:tc>
      </w:tr>
    </w:tbl>
    <w:p>
      <w:pPr>
        <w:spacing w:before="100" w:after="150"/>
      </w:pPr>
      <w:r>
        <w:t xml:space="preserve"/>
      </w:r>
    </w:p>
    <w:p>
      <w:pPr>
        <w:spacing w:before="240" w:after="80"/>
      </w:pPr>
      <w:r>
        <w:rPr>
          <w:rFonts w:ascii="Arial" w:cs="Arial" w:eastAsia="Arial" w:hAnsi="Arial"/>
          <w:b/>
          <w:bCs/>
          <w:color w:val="404040"/>
          <w:sz w:val="24"/>
          <w:szCs w:val="24"/>
        </w:rPr>
        <w:t xml:space="preserve">What gets recorded</w:t>
      </w:r>
    </w:p>
    <w:p>
      <w:pPr>
        <w:spacing w:before="80" w:after="100"/>
      </w:pPr>
      <w:r>
        <w:rPr>
          <w:rFonts w:ascii="Arial" w:cs="Arial" w:eastAsia="Arial" w:hAnsi="Arial"/>
          <w:color w:val="222222"/>
          <w:sz w:val="22"/>
          <w:szCs w:val="22"/>
        </w:rPr>
        <w:t xml:space="preserve">Every user override is written to COLUMN_LINEAGE with method = USER_OVERRIDE and confidence = 100. This creates a permanent, auditable record of every human decision made during mapping.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COLUMN_LINEAGE Field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After User Override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Source_Column_Name</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Canonical_Table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Canonical_Column</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Invoice_Amount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Match_Method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USER_OVERRIDE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Confidence_Score</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LLM_Reasoning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N/A — Human override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Insert_Timestamp</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2026-03-15 09:42:17</w:t>
            </w:r>
          </w:p>
        </w:tc>
      </w:tr>
    </w:tbl>
    <w:p>
      <w:pPr>
        <w:spacing w:before="10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5F0DC" w:val="clear"/>
            <w:tcMar>
              <w:top w:type="dxa" w:w="120"/>
              <w:left w:type="dxa" w:w="160"/>
              <w:bottom w:type="dxa" w:w="120"/>
              <w:right w:type="dxa" w:w="160"/>
            </w:tcMar>
            <w:vAlign w:val="center"/>
          </w:tcPr>
          <w:p>
            <w:pPr>
              <w:jc w:val="center"/>
            </w:pPr>
            <w:r>
              <w:rPr>
                <w:rFonts w:ascii="Arial" w:cs="Arial" w:eastAsia="Arial" w:hAnsi="Arial"/>
                <w:b/>
                <w:bCs/>
                <w:color w:val="1E7145"/>
                <w:sz w:val="22"/>
                <w:szCs w:val="22"/>
              </w:rPr>
              <w:t xml:space="preserve">LEARNING LOOP</w:t>
            </w:r>
          </w:p>
        </w:tc>
        <w:tc>
          <w:tcPr>
            <w:tcW w:type="dxa" w:w="8160"/>
            <w:tcBorders>
              <w:top w:val="none" w:color="FFFFFF" w:sz="0"/>
              <w:left w:val="none" w:color="FFFFFF" w:sz="0"/>
              <w:bottom w:val="none" w:color="FFFFFF" w:sz="0"/>
              <w:right w:val="none" w:color="FFFFFF" w:sz="0"/>
            </w:tcBorders>
            <w:shd w:fill="D5F0DC" w:val="clear"/>
            <w:tcMar>
              <w:top w:type="dxa" w:w="120"/>
              <w:left w:type="dxa" w:w="200"/>
              <w:bottom w:type="dxa" w:w="120"/>
              <w:right w:type="dxa" w:w="160"/>
            </w:tcMar>
          </w:tcPr>
          <w:p>
            <w:r>
              <w:rPr>
                <w:rFonts w:ascii="Arial" w:cs="Arial" w:eastAsia="Arial" w:hAnsi="Arial"/>
                <w:color w:val="222222"/>
                <w:sz w:val="22"/>
                <w:szCs w:val="22"/>
              </w:rPr>
              <w:t xml:space="preserve">After a user override, the analyst can add the new variant to lookup_table.csv. Next time that column appears, it is resolved at confidence 100 via exact lookup — no LLM, no override needed.</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1A1A"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E</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8B1A1A"/>
                <w:sz w:val="28"/>
                <w:szCs w:val="28"/>
              </w:rPr>
              <w:t xml:space="preserve">Pass 5: Shared-Key Propagation</w:t>
            </w:r>
          </w:p>
          <w:p>
            <w:r>
              <w:rPr>
                <w:rFonts w:ascii="Arial" w:cs="Arial" w:eastAsia="Arial" w:hAnsi="Arial"/>
                <w:i/>
                <w:iCs/>
                <w:color w:val="666666"/>
                <w:sz w:val="20"/>
                <w:szCs w:val="20"/>
              </w:rPr>
              <w:t xml:space="preserve">One source column → Multiple canonical targets  |  Config-driven  |  No extra LLM cost</w:t>
            </w:r>
          </w:p>
        </w:tc>
      </w:tr>
    </w:tbl>
    <w:p>
      <w:pPr>
        <w:spacing w:before="200" w:after="100"/>
      </w:pPr>
      <w:r>
        <w:t xml:space="preserve"/>
      </w:r>
    </w:p>
    <w:p>
      <w:pPr>
        <w:spacing w:before="240" w:after="80"/>
      </w:pPr>
      <w:r>
        <w:rPr>
          <w:rFonts w:ascii="Arial" w:cs="Arial" w:eastAsia="Arial" w:hAnsi="Arial"/>
          <w:b/>
          <w:bCs/>
          <w:color w:val="404040"/>
          <w:sz w:val="24"/>
          <w:szCs w:val="24"/>
        </w:rPr>
        <w:t xml:space="preserve">The Problem This Solves</w:t>
      </w:r>
    </w:p>
    <w:p>
      <w:pPr>
        <w:spacing w:before="80" w:after="100"/>
      </w:pPr>
      <w:r>
        <w:rPr>
          <w:rFonts w:ascii="Arial" w:cs="Arial" w:eastAsia="Arial" w:hAnsi="Arial"/>
          <w:color w:val="222222"/>
          <w:sz w:val="22"/>
          <w:szCs w:val="22"/>
        </w:rPr>
        <w:t xml:space="preserve">The canonical model has two tables: TRD_CUSTOMER and TRD_INVOICE. They are linked by Account_Number — it is the join key. But many supplier files are single flat files that contain both customer and invoice data in one sheet. There is only one column called 'Account_Number' in the source file, yet it needs to appear in both canonical tables.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8E8" w:val="clear"/>
            <w:tcMar>
              <w:top w:type="dxa" w:w="120"/>
              <w:left w:type="dxa" w:w="160"/>
              <w:bottom w:type="dxa" w:w="120"/>
              <w:right w:type="dxa" w:w="160"/>
            </w:tcMar>
            <w:vAlign w:val="center"/>
          </w:tcPr>
          <w:p>
            <w:pPr>
              <w:jc w:val="center"/>
            </w:pPr>
            <w:r>
              <w:rPr>
                <w:rFonts w:ascii="Arial" w:cs="Arial" w:eastAsia="Arial" w:hAnsi="Arial"/>
                <w:b/>
                <w:bCs/>
                <w:color w:val="8B1A1A"/>
                <w:sz w:val="22"/>
                <w:szCs w:val="22"/>
              </w:rPr>
              <w:t xml:space="preserve">THE CHALLENGE</w:t>
            </w:r>
          </w:p>
        </w:tc>
        <w:tc>
          <w:tcPr>
            <w:tcW w:type="dxa" w:w="8160"/>
            <w:tcBorders>
              <w:top w:val="none" w:color="FFFFFF" w:sz="0"/>
              <w:left w:val="none" w:color="FFFFFF" w:sz="0"/>
              <w:bottom w:val="none" w:color="FFFFFF" w:sz="0"/>
              <w:right w:val="none" w:color="FFFFFF" w:sz="0"/>
            </w:tcBorders>
            <w:shd w:fill="FDE8E8" w:val="clear"/>
            <w:tcMar>
              <w:top w:type="dxa" w:w="120"/>
              <w:left w:type="dxa" w:w="200"/>
              <w:bottom w:type="dxa" w:w="120"/>
              <w:right w:type="dxa" w:w="160"/>
            </w:tcMar>
          </w:tcPr>
          <w:p>
            <w:r>
              <w:rPr>
                <w:rFonts w:ascii="Arial" w:cs="Arial" w:eastAsia="Arial" w:hAnsi="Arial"/>
                <w:color w:val="222222"/>
                <w:sz w:val="22"/>
                <w:szCs w:val="22"/>
              </w:rPr>
              <w:t xml:space="preserve">Source file has 1 column: 'Cust_Ref'
Canonical model needs:
  • TRD_CUSTOMER.Account_Number  (to identify the customer)
  • TRD_INVOICE.Account_Number    (to link the invoice to the customer)
Without shared-key propagation, the mapping engine would map 'Cust_Ref' to only ONE of these — breaking referential integrity.</w:t>
            </w:r>
          </w:p>
        </w:tc>
      </w:tr>
    </w:tbl>
    <w:p>
      <w:pPr>
        <w:spacing w:before="100" w:after="200"/>
      </w:pPr>
      <w:r>
        <w:t xml:space="preserve"/>
      </w:r>
    </w:p>
    <w:p>
      <w:pPr>
        <w:spacing w:before="240" w:after="80"/>
      </w:pPr>
      <w:r>
        <w:rPr>
          <w:rFonts w:ascii="Arial" w:cs="Arial" w:eastAsia="Arial" w:hAnsi="Arial"/>
          <w:b/>
          <w:bCs/>
          <w:color w:val="404040"/>
          <w:sz w:val="24"/>
          <w:szCs w:val="24"/>
        </w:rPr>
        <w:t xml:space="preserve">How it works</w:t>
      </w:r>
    </w:p>
    <w:p>
      <w:pPr>
        <w:spacing w:before="80" w:after="100"/>
      </w:pPr>
      <w:r>
        <w:rPr>
          <w:rFonts w:ascii="Arial" w:cs="Arial" w:eastAsia="Arial" w:hAnsi="Arial"/>
          <w:color w:val="222222"/>
          <w:sz w:val="22"/>
          <w:szCs w:val="22"/>
        </w:rPr>
        <w:t xml:space="preserve">Shared-key propagation is defined in system_config.json under shared_key_propagation_rules. It tells the engine: 'when this canonical column is resolved, also write the same value to these additional targets.'</w:t>
      </w:r>
    </w:p>
    <w:p>
      <w:pPr>
        <w:spacing w:before="100" w:after="100"/>
      </w:pPr>
      <w:r>
        <w:t xml:space="preserve"/>
      </w:r>
    </w:p>
    <w:p>
      <w:pPr>
        <w:spacing w:before="240" w:after="80"/>
      </w:pPr>
      <w:r>
        <w:rPr>
          <w:rFonts w:ascii="Arial" w:cs="Arial" w:eastAsia="Arial" w:hAnsi="Arial"/>
          <w:b/>
          <w:bCs/>
          <w:color w:val="404040"/>
          <w:sz w:val="24"/>
          <w:szCs w:val="24"/>
        </w:rPr>
        <w:t xml:space="preserve">The config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0F0" w:val="clear"/>
            <w:tcMar>
              <w:top w:type="dxa" w:w="120"/>
              <w:left w:type="dxa" w:w="160"/>
              <w:bottom w:type="dxa" w:w="120"/>
              <w:right w:type="dxa" w:w="160"/>
            </w:tcMar>
            <w:vAlign w:val="center"/>
          </w:tcPr>
          <w:p>
            <w:pPr>
              <w:jc w:val="center"/>
            </w:pPr>
            <w:r>
              <w:rPr>
                <w:rFonts w:ascii="Arial" w:cs="Arial" w:eastAsia="Arial" w:hAnsi="Arial"/>
                <w:b/>
                <w:bCs/>
                <w:color w:val="404040"/>
                <w:sz w:val="22"/>
                <w:szCs w:val="22"/>
              </w:rPr>
              <w:t xml:space="preserve">system_config.json</w:t>
            </w:r>
          </w:p>
        </w:tc>
        <w:tc>
          <w:tcPr>
            <w:tcW w:type="dxa" w:w="8160"/>
            <w:tcBorders>
              <w:top w:val="none" w:color="FFFFFF" w:sz="0"/>
              <w:left w:val="none" w:color="FFFFFF" w:sz="0"/>
              <w:bottom w:val="none" w:color="FFFFFF" w:sz="0"/>
              <w:right w:val="none" w:color="FFFFFF" w:sz="0"/>
            </w:tcBorders>
            <w:shd w:fill="F0F0F0" w:val="clear"/>
            <w:tcMar>
              <w:top w:type="dxa" w:w="120"/>
              <w:left w:type="dxa" w:w="200"/>
              <w:bottom w:type="dxa" w:w="120"/>
              <w:right w:type="dxa" w:w="160"/>
            </w:tcMar>
          </w:tcPr>
          <w:p>
            <w:r>
              <w:rPr>
                <w:rFonts w:ascii="Arial" w:cs="Arial" w:eastAsia="Arial" w:hAnsi="Arial"/>
                <w:color w:val="222222"/>
                <w:sz w:val="22"/>
                <w:szCs w:val="22"/>
              </w:rPr>
              <w:t xml:space="preserve">"shared_key_propagation_rules": [
  {
    "trigger_canonical_column": "Account_Number",
    "trigger_canonical_table": "TRD_CUSTOMER",
    "propagate_to": [
      {
        "canonical_table": "TRD_INVOICE",
        "canonical_column": "Account_Number"
      }
    ]
  }
]</w:t>
            </w:r>
          </w:p>
        </w:tc>
      </w:tr>
    </w:tbl>
    <w:p>
      <w:pPr>
        <w:spacing w:before="100" w:after="200"/>
      </w:pPr>
      <w:r>
        <w:t xml:space="preserve"/>
      </w:r>
    </w:p>
    <w:p>
      <w:pPr>
        <w:spacing w:before="240" w:after="80"/>
      </w:pPr>
      <w:r>
        <w:rPr>
          <w:rFonts w:ascii="Arial" w:cs="Arial" w:eastAsia="Arial" w:hAnsi="Arial"/>
          <w:b/>
          <w:bCs/>
          <w:color w:val="404040"/>
          <w:sz w:val="24"/>
          <w:szCs w:val="24"/>
        </w:rPr>
        <w:t xml:space="preserve">Step-by-step example</w:t>
      </w:r>
    </w:p>
    <w:p>
      <w:pPr>
        <w:spacing w:before="80" w:after="100"/>
      </w:pPr>
      <w:r>
        <w:rPr>
          <w:rFonts w:ascii="Arial" w:cs="Arial" w:eastAsia="Arial" w:hAnsi="Arial"/>
          <w:color w:val="222222"/>
          <w:sz w:val="22"/>
          <w:szCs w:val="22"/>
        </w:rPr>
        <w:t xml:space="preserve">A supplier sends a single flat file with this 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Cust_Ref</w:t>
            </w:r>
          </w:p>
        </w:tc>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Company_Name</w:t>
            </w:r>
          </w:p>
        </w:tc>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Inv_No</w:t>
            </w:r>
          </w:p>
        </w:tc>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Inv_Date</w:t>
            </w:r>
          </w:p>
        </w:tc>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Due_Date</w:t>
            </w:r>
          </w:p>
        </w:tc>
        <w:tc>
          <w:tcPr>
            <w:tcW w:type="dxa" w:w="15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Inv_Amt</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C-1001</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Acme Ltd</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INV-001</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01/01/2026</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31/01/2026</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5000.00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Beta Corp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02/01/2026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01/02/2026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3200.00</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C-1001</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Acme Ltd</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INV-003</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03/01/2026</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02/02/2026</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1800.00</w:t>
            </w:r>
          </w:p>
        </w:tc>
      </w:tr>
    </w:tbl>
    <w:p>
      <w:pPr>
        <w:spacing w:before="100" w:after="200"/>
      </w:pPr>
      <w:r>
        <w:t xml:space="preserve"/>
      </w:r>
    </w:p>
    <w:p>
      <w:pPr>
        <w:spacing w:before="80" w:after="100"/>
      </w:pPr>
      <w:r>
        <w:rPr>
          <w:rFonts w:ascii="Arial" w:cs="Arial" w:eastAsia="Arial" w:hAnsi="Arial"/>
          <w:color w:val="222222"/>
          <w:sz w:val="22"/>
          <w:szCs w:val="22"/>
        </w:rPr>
        <w:t xml:space="preserve">After column mapping resolves 'Cust_Ref' → TRD_CUSTOMER.Account_Number, shared-key propagation fires automatically: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 Normal mapping resolves</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'Cust_Ref' → TRD_CUSTOMER.Account_Number via exact lookup (confidence 100)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 Engine checks propagation rules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TRD_CUSTOMER.Account_Number is the trigger column — rule found</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 Propagation fires</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Same source column 'Cust_Ref' is also mapped to TRD_INVOICE.Account_Number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4. COLUMN_LINEAGE updated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Two rows written: one for TRD_CUSTOMER mapping, one for TRD_INVOICE mapping</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5. Output generated</w:t>
            </w:r>
          </w:p>
        </w:tc>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Both canonical tables receive Account_Number values from the same source column</w:t>
            </w:r>
          </w:p>
        </w:tc>
      </w:tr>
    </w:tbl>
    <w:p>
      <w:pPr>
        <w:spacing w:before="100" w:after="200"/>
      </w:pPr>
      <w:r>
        <w:t xml:space="preserve"/>
      </w:r>
    </w:p>
    <w:p>
      <w:pPr>
        <w:spacing w:before="240" w:after="80"/>
      </w:pPr>
      <w:r>
        <w:rPr>
          <w:rFonts w:ascii="Arial" w:cs="Arial" w:eastAsia="Arial" w:hAnsi="Arial"/>
          <w:b/>
          <w:bCs/>
          <w:color w:val="404040"/>
          <w:sz w:val="24"/>
          <w:szCs w:val="24"/>
        </w:rPr>
        <w:t xml:space="preserve">The canonical output after propagation</w:t>
      </w:r>
    </w:p>
    <w:p>
      <w:pPr>
        <w:spacing w:before="80" w:after="100"/>
      </w:pPr>
      <w:r>
        <w:rPr>
          <w:rFonts w:ascii="Arial" w:cs="Arial" w:eastAsia="Arial" w:hAnsi="Arial"/>
          <w:color w:val="222222"/>
          <w:sz w:val="22"/>
          <w:szCs w:val="22"/>
        </w:rPr>
        <w:t xml:space="preserve">TRD_CUSTOMER output: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Account_Number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Company_Name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Source_Filename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Source_Row_Index</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C-1001</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Acme Ltd</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supplier_jan.csv</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Beta Corp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supplier_jan.csv</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w:t>
            </w:r>
          </w:p>
        </w:tc>
      </w:tr>
    </w:tbl>
    <w:p>
      <w:pPr>
        <w:spacing w:before="80" w:after="120"/>
      </w:pPr>
      <w:r>
        <w:t xml:space="preserve"/>
      </w:r>
    </w:p>
    <w:p>
      <w:pPr>
        <w:spacing w:before="80" w:after="100"/>
      </w:pPr>
      <w:r>
        <w:rPr>
          <w:rFonts w:ascii="Arial" w:cs="Arial" w:eastAsia="Arial" w:hAnsi="Arial"/>
          <w:color w:val="222222"/>
          <w:sz w:val="22"/>
          <w:szCs w:val="22"/>
        </w:rPr>
        <w:t xml:space="preserve">TRD_INVOICE output (Account_Number populated from same source column):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Account_Number</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Invoice_Number</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Invoice_Date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Due_Date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Invoice_Amount</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C-1001</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INV-001</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2026-01-01</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2026-01-31</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5000.00</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2026-01-02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2026-02-01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3200.00</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C-1001</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INV-003</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2026-01-03</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2026-02-02</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1800.00</w:t>
            </w:r>
          </w:p>
        </w:tc>
      </w:tr>
    </w:tbl>
    <w:p>
      <w:pPr>
        <w:spacing w:before="10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8E8" w:val="clear"/>
            <w:tcMar>
              <w:top w:type="dxa" w:w="120"/>
              <w:left w:type="dxa" w:w="160"/>
              <w:bottom w:type="dxa" w:w="120"/>
              <w:right w:type="dxa" w:w="160"/>
            </w:tcMar>
            <w:vAlign w:val="center"/>
          </w:tcPr>
          <w:p>
            <w:pPr>
              <w:jc w:val="center"/>
            </w:pPr>
            <w:r>
              <w:rPr>
                <w:rFonts w:ascii="Arial" w:cs="Arial" w:eastAsia="Arial" w:hAnsi="Arial"/>
                <w:b/>
                <w:bCs/>
                <w:color w:val="8B1A1A"/>
                <w:sz w:val="22"/>
                <w:szCs w:val="22"/>
              </w:rPr>
              <w:t xml:space="preserve">WHY THIS MATTERS</w:t>
            </w:r>
          </w:p>
        </w:tc>
        <w:tc>
          <w:tcPr>
            <w:tcW w:type="dxa" w:w="8160"/>
            <w:tcBorders>
              <w:top w:val="none" w:color="FFFFFF" w:sz="0"/>
              <w:left w:val="none" w:color="FFFFFF" w:sz="0"/>
              <w:bottom w:val="none" w:color="FFFFFF" w:sz="0"/>
              <w:right w:val="none" w:color="FFFFFF" w:sz="0"/>
            </w:tcBorders>
            <w:shd w:fill="FDE8E8" w:val="clear"/>
            <w:tcMar>
              <w:top w:type="dxa" w:w="120"/>
              <w:left w:type="dxa" w:w="200"/>
              <w:bottom w:type="dxa" w:w="120"/>
              <w:right w:type="dxa" w:w="160"/>
            </w:tcMar>
          </w:tcPr>
          <w:p>
            <w:r>
              <w:rPr>
                <w:rFonts w:ascii="Arial" w:cs="Arial" w:eastAsia="Arial" w:hAnsi="Arial"/>
                <w:color w:val="222222"/>
                <w:sz w:val="22"/>
                <w:szCs w:val="22"/>
              </w:rPr>
              <w:t xml:space="preserve">Without shared-key propagation, referential integrity would always fail — TRD_INVOICE would have Account_Numbers that don't exist in TRD_CUSTOMER. Shared-key propagation is what makes it possible to ingest a single flat supplier file and produce two properly linked canonical tables.</w:t>
            </w:r>
          </w:p>
        </w:tc>
      </w:tr>
    </w:tbl>
    <w:p>
      <w:pPr>
        <w:spacing w:before="200" w:after="200"/>
      </w:pPr>
      <w:r>
        <w:t xml:space="preserve"/>
      </w:r>
    </w:p>
    <w:p>
      <w:r>
        <w:br w:type="page"/>
      </w:r>
    </w:p>
    <w:p>
      <w:pPr>
        <w:pStyle w:val="Heading1"/>
        <w:spacing w:before="480" w:after="160"/>
      </w:pPr>
      <w:r>
        <w:rPr>
          <w:rFonts w:ascii="Arial" w:cs="Arial" w:eastAsia="Arial" w:hAnsi="Arial"/>
          <w:b/>
          <w:bCs/>
          <w:color w:val="1F4E79"/>
          <w:sz w:val="36"/>
          <w:szCs w:val="36"/>
        </w:rPr>
        <w:t xml:space="preserve">Summary: All 5 Passes at a Glance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LLM Cost?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Outcome if Fails</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Exact Lookup</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Always tried first</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Pass B</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Fuzzy Match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 exact lookup match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64%–91%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Pass C</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 Inference</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Fuzzy score &lt; 0.70</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55%–91%</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Yes</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Flag for Pass D</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User Override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 &lt; 55% or analyst disagrees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UNMAPPED_MANDATORY if not done</w:t>
            </w:r>
          </w:p>
        </w:tc>
      </w:tr>
      <w:tr>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Shared-Key Propagation</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After Pass A-D, if propagation rule exists</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Same as trigger</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w:t>
            </w:r>
          </w:p>
        </w:tc>
        <w:tc>
          <w:tcPr>
            <w:tcW w:type="dxa" w:w="1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N/A — post-mapping step</w:t>
            </w:r>
          </w:p>
        </w:tc>
      </w:tr>
    </w:tbl>
    <w:p>
      <w:pPr>
        <w:spacing w:before="200" w:after="200"/>
      </w:pPr>
      <w:r>
        <w:t xml:space="preserve"/>
      </w:r>
    </w:p>
    <w:p>
      <w:pPr>
        <w:pStyle w:val="Heading1"/>
        <w:spacing w:before="480" w:after="160"/>
      </w:pPr>
      <w:r>
        <w:rPr>
          <w:rFonts w:ascii="Arial" w:cs="Arial" w:eastAsia="Arial" w:hAnsi="Arial"/>
          <w:b/>
          <w:bCs/>
          <w:color w:val="1F4E79"/>
          <w:sz w:val="36"/>
          <w:szCs w:val="36"/>
        </w:rPr>
        <w:t xml:space="preserve">End-to-End: One File, All 5 Passes</w:t>
      </w:r>
    </w:p>
    <w:p>
      <w:pPr>
        <w:spacing w:before="80" w:after="100"/>
      </w:pPr>
      <w:r>
        <w:rPr>
          <w:rFonts w:ascii="Arial" w:cs="Arial" w:eastAsia="Arial" w:hAnsi="Arial"/>
          <w:color w:val="222222"/>
          <w:sz w:val="22"/>
          <w:szCs w:val="22"/>
        </w:rPr>
        <w:t xml:space="preserve">A supplier uploads a file with 8 columns. Here is how the pipeline processes each 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Column</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 Used</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Inv_No</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 Exact Lookup</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TRD_INVOICE.Invoice_Number</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 lookup_table.csv</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 Exact Lookup</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TRD_INVOICE.Due_Date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'DOE' = Due on Expiry, known variant</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Inv_Amt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 Exact Lookup</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TRD_INVOICE.Invoice_Amount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Known variant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Cust_Ref</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 Exact Lookup</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TRD_CUSTOMER.Account_Number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 Also propagated to TRD_INVOICE via Pass E</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Invoice_Date</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 — Fuzzy Match</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TRD_INVOICE.Invoice_Date</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88%</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 character difference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Ref_Date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 — LLM Inference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TRD_INVOICE.Invoice_Date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74%</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 reasons it means issue date</w:t>
            </w:r>
          </w:p>
        </w:tc>
      </w:tr>
      <w:tr>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Amt</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 — LLM Inference</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FLAGGED</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42%</w:t>
            </w:r>
          </w:p>
        </w:tc>
        <w:tc>
          <w:tcPr>
            <w:tcW w:type="dxa" w:w="1872"/>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Too ambiguous — pushed to Pass D</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Amt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 — User Override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TRD_INVOICE.Invoice_Amount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Analyst selects from dropdown</w:t>
            </w:r>
          </w:p>
        </w:tc>
      </w:tr>
    </w:tbl>
    <w:p>
      <w:pPr>
        <w:spacing w:before="400" w:after="100"/>
      </w:pPr>
      <w:r>
        <w:t xml:space="preserve"/>
      </w:r>
    </w:p>
    <w:p>
      <w:pPr>
        <w:pBdr>
          <w:bottom w:val="single" w:color="CCCCCC" w:sz="2"/>
        </w:pBdr>
        <w:spacing w:before="0" w:after="200"/>
      </w:pPr>
      <w:r>
        <w:t xml:space="preserve"/>
      </w:r>
    </w:p>
    <w:p>
      <w:pPr>
        <w:spacing w:before="80" w:after="0"/>
        <w:jc w:val="center"/>
      </w:pPr>
      <w:r>
        <w:rPr>
          <w:rFonts w:ascii="Arial" w:cs="Arial" w:eastAsia="Arial" w:hAnsi="Arial"/>
          <w:i/>
          <w:iCs/>
          <w:color w:val="888888"/>
          <w:sz w:val="18"/>
          <w:szCs w:val="18"/>
        </w:rPr>
        <w:t xml:space="preserve">Universal Data Ingestion &amp; Normalisation Platform  |  Column Mapping Pipeline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2026-03-12T03:54:21.309Z</dcterms:created>
  <dcterms:modified xsi:type="dcterms:W3CDTF">2026-03-12T03:54:21.310Z</dcterms:modified>
</cp:coreProperties>
</file>

<file path=docProps/custom.xml><?xml version="1.0" encoding="utf-8"?>
<Properties xmlns="http://schemas.openxmlformats.org/officeDocument/2006/custom-properties" xmlns:vt="http://schemas.openxmlformats.org/officeDocument/2006/docPropsVTypes"/>
</file>