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SKY130 Area Estimator: Model Comparison</w:t>
      </w:r>
    </w:p>
    <w:p>
      <w:pPr>
        <w:pStyle w:val="Heading1"/>
      </w:pPr>
      <w:r>
        <w:t>1. The Old Model (Flawed)</w:t>
      </w:r>
    </w:p>
    <w:p>
      <w:r>
        <w:t>The previous script fitted a simple linear regression to calculate the layout area of MOSFETs:</w:t>
        <w:br/>
        <w:br/>
        <w:t xml:space="preserve">    Area = a*(W * nf) + b*L + c</w:t>
        <w:br/>
        <w:br/>
        <w:t>This model is mathematically incomplete. In a physical Magic layout, the overall area is a rectangle defined by its bounding box (Width × Height). Height is proportional to W (due to source/drain extensions), while Width is proportional to (L * nf) (due to multiple gates). Therefore, the true Area equation MUST have a multiplication cross-term (W × L), which the simple linear model lacked.</w:t>
      </w:r>
    </w:p>
    <w:p>
      <w:pPr>
        <w:pStyle w:val="Heading1"/>
      </w:pPr>
      <w:r>
        <w:t>2. The New Model (Accurate Bounding-Box)</w:t>
      </w:r>
    </w:p>
    <w:p>
      <w:r>
        <w:t>To solve this, the new script separately models the bounding box dimensions based on the device_db data:</w:t>
        <w:br/>
        <w:br/>
        <w:t xml:space="preserve">    Height = ah*W + bh</w:t>
        <w:br/>
        <w:t xml:space="preserve">    Width = aw*(L * nf) + bw*nf + cw</w:t>
        <w:br/>
        <w:br/>
        <w:t>Then, the final Area is calculated properly as:</w:t>
        <w:br/>
        <w:br/>
        <w:t xml:space="preserve">    Area = Height × Width</w:t>
        <w:br/>
        <w:br/>
        <w:t>This correctly captures the cross-multiplication term, allowing accurate scaling for devices that are simultaneously wide and long.</w:t>
      </w:r>
    </w:p>
    <w:p>
      <w:pPr>
        <w:pStyle w:val="Heading1"/>
      </w:pPr>
      <w:r>
        <w:t>3. Numerical Error Comparison (nfet_01v8)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Dimensions</w:t>
            </w:r>
          </w:p>
        </w:tc>
        <w:tc>
          <w:tcPr>
            <w:tcW w:type="dxa" w:w="2160"/>
          </w:tcPr>
          <w:p>
            <w:r>
              <w:t>Actual Area (µm²)</w:t>
            </w:r>
          </w:p>
        </w:tc>
        <w:tc>
          <w:tcPr>
            <w:tcW w:type="dxa" w:w="2160"/>
          </w:tcPr>
          <w:p>
            <w:r>
              <w:t>Old Model Prediction</w:t>
            </w:r>
          </w:p>
        </w:tc>
        <w:tc>
          <w:tcPr>
            <w:tcW w:type="dxa" w:w="2160"/>
          </w:tcPr>
          <w:p>
            <w:r>
              <w:t>New Model Prediction</w:t>
            </w:r>
          </w:p>
        </w:tc>
      </w:tr>
      <w:tr>
        <w:tc>
          <w:tcPr>
            <w:tcW w:type="dxa" w:w="2160"/>
          </w:tcPr>
          <w:p>
            <w:r>
              <w:t>W=0.42 L=0.15 nf=1</w:t>
            </w:r>
          </w:p>
        </w:tc>
        <w:tc>
          <w:tcPr>
            <w:tcW w:type="dxa" w:w="2160"/>
          </w:tcPr>
          <w:p>
            <w:r>
              <w:t>5.32</w:t>
            </w:r>
          </w:p>
        </w:tc>
        <w:tc>
          <w:tcPr>
            <w:tcW w:type="dxa" w:w="2160"/>
          </w:tcPr>
          <w:p>
            <w:r>
              <w:t>6.06 (14.0% err)</w:t>
            </w:r>
          </w:p>
        </w:tc>
        <w:tc>
          <w:tcPr>
            <w:tcW w:type="dxa" w:w="2160"/>
          </w:tcPr>
          <w:p>
            <w:r>
              <w:t>5.34 (0.5% err)</w:t>
            </w:r>
          </w:p>
        </w:tc>
      </w:tr>
      <w:tr>
        <w:tc>
          <w:tcPr>
            <w:tcW w:type="dxa" w:w="2160"/>
          </w:tcPr>
          <w:p>
            <w:r>
              <w:t>W=1.00 L=0.15 nf=1</w:t>
            </w:r>
          </w:p>
        </w:tc>
        <w:tc>
          <w:tcPr>
            <w:tcW w:type="dxa" w:w="2160"/>
          </w:tcPr>
          <w:p>
            <w:r>
              <w:t>6.54</w:t>
            </w:r>
          </w:p>
        </w:tc>
        <w:tc>
          <w:tcPr>
            <w:tcW w:type="dxa" w:w="2160"/>
          </w:tcPr>
          <w:p>
            <w:r>
              <w:t>6.68 (2.1% err)</w:t>
            </w:r>
          </w:p>
        </w:tc>
        <w:tc>
          <w:tcPr>
            <w:tcW w:type="dxa" w:w="2160"/>
          </w:tcPr>
          <w:p>
            <w:r>
              <w:t>6.57 (0.5% err)</w:t>
            </w:r>
          </w:p>
        </w:tc>
      </w:tr>
      <w:tr>
        <w:tc>
          <w:tcPr>
            <w:tcW w:type="dxa" w:w="2160"/>
          </w:tcPr>
          <w:p>
            <w:r>
              <w:t>W=2.00 L=0.15 nf=4</w:t>
            </w:r>
          </w:p>
        </w:tc>
        <w:tc>
          <w:tcPr>
            <w:tcW w:type="dxa" w:w="2160"/>
          </w:tcPr>
          <w:p>
            <w:r>
              <w:t>14.72</w:t>
            </w:r>
          </w:p>
        </w:tc>
        <w:tc>
          <w:tcPr>
            <w:tcW w:type="dxa" w:w="2160"/>
          </w:tcPr>
          <w:p>
            <w:r>
              <w:t>14.11 (4.1% err)</w:t>
            </w:r>
          </w:p>
        </w:tc>
        <w:tc>
          <w:tcPr>
            <w:tcW w:type="dxa" w:w="2160"/>
          </w:tcPr>
          <w:p>
            <w:r>
              <w:t>14.72 (0.0% err)</w:t>
            </w:r>
          </w:p>
        </w:tc>
      </w:tr>
      <w:tr>
        <w:tc>
          <w:tcPr>
            <w:tcW w:type="dxa" w:w="2160"/>
          </w:tcPr>
          <w:p>
            <w:r>
              <w:t>W=2.00 L=0.35 nf=2</w:t>
            </w:r>
          </w:p>
        </w:tc>
        <w:tc>
          <w:tcPr>
            <w:tcW w:type="dxa" w:w="2160"/>
          </w:tcPr>
          <w:p>
            <w:r>
              <w:t>12.10</w:t>
            </w:r>
          </w:p>
        </w:tc>
        <w:tc>
          <w:tcPr>
            <w:tcW w:type="dxa" w:w="2160"/>
          </w:tcPr>
          <w:p>
            <w:r>
              <w:t>10.78 (10.8% err)</w:t>
            </w:r>
          </w:p>
        </w:tc>
        <w:tc>
          <w:tcPr>
            <w:tcW w:type="dxa" w:w="2160"/>
          </w:tcPr>
          <w:p>
            <w:r>
              <w:t>12.19 (0.8% err)</w:t>
            </w:r>
          </w:p>
        </w:tc>
      </w:tr>
      <w:tr>
        <w:tc>
          <w:tcPr>
            <w:tcW w:type="dxa" w:w="2160"/>
          </w:tcPr>
          <w:p>
            <w:r>
              <w:t>W=0.42 L=0.50 nf=1</w:t>
            </w:r>
          </w:p>
        </w:tc>
        <w:tc>
          <w:tcPr>
            <w:tcW w:type="dxa" w:w="2160"/>
          </w:tcPr>
          <w:p>
            <w:r>
              <w:t>6.20</w:t>
            </w:r>
          </w:p>
        </w:tc>
        <w:tc>
          <w:tcPr>
            <w:tcW w:type="dxa" w:w="2160"/>
          </w:tcPr>
          <w:p>
            <w:r>
              <w:t>7.67 (23.8% err)</w:t>
            </w:r>
          </w:p>
        </w:tc>
        <w:tc>
          <w:tcPr>
            <w:tcW w:type="dxa" w:w="2160"/>
          </w:tcPr>
          <w:p>
            <w:r>
              <w:t>6.15 (0.9% err)</w:t>
            </w:r>
          </w:p>
        </w:tc>
      </w:tr>
      <w:tr>
        <w:tc>
          <w:tcPr>
            <w:tcW w:type="dxa" w:w="2160"/>
          </w:tcPr>
          <w:p>
            <w:r>
              <w:t>W=1.00 L=0.50 nf=2</w:t>
            </w:r>
          </w:p>
        </w:tc>
        <w:tc>
          <w:tcPr>
            <w:tcW w:type="dxa" w:w="2160"/>
          </w:tcPr>
          <w:p>
            <w:r>
              <w:t>10.07</w:t>
            </w:r>
          </w:p>
        </w:tc>
        <w:tc>
          <w:tcPr>
            <w:tcW w:type="dxa" w:w="2160"/>
          </w:tcPr>
          <w:p>
            <w:r>
              <w:t>9.35 (7.2% err)</w:t>
            </w:r>
          </w:p>
        </w:tc>
        <w:tc>
          <w:tcPr>
            <w:tcW w:type="dxa" w:w="2160"/>
          </w:tcPr>
          <w:p>
            <w:r>
              <w:t>10.07 (0.1% err)</w:t>
            </w:r>
          </w:p>
        </w:tc>
      </w:tr>
    </w:tbl>
    <w:p>
      <w:r>
        <w:br/>
        <w:t>As shown above, the new model reduces worst-case estimation errors from nearly 24% down to under 1%.</w:t>
        <w:br/>
      </w:r>
    </w:p>
    <w:p>
      <w:pPr>
        <w:pStyle w:val="Heading1"/>
      </w:pPr>
      <w:r>
        <w:t>4. Parity Plots</w:t>
      </w:r>
    </w:p>
    <w:p>
      <w:r>
        <w:t>The plots below show Actual Area (X-axis) vs Predicted Area (Y-axis). A perfect model lies exactly on the dashed black line. The new model (blue circles) follows the ideal line perfectly, whereas the old model (red crosses) diverges heavily.</w:t>
      </w:r>
    </w:p>
    <w:p>
      <w:r>
        <w:drawing>
          <wp:inline xmlns:a="http://schemas.openxmlformats.org/drawingml/2006/main" xmlns:pic="http://schemas.openxmlformats.org/drawingml/2006/picture">
            <wp:extent cx="5486400" cy="23513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