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62720" w14:textId="77777777" w:rsidR="00EE70E2" w:rsidRDefault="00EE70E2"/>
    <w:p w14:paraId="3937A741" w14:textId="77777777" w:rsidR="00EE70E2" w:rsidRDefault="00EE70E2"/>
    <w:p w14:paraId="27183E09" w14:textId="77777777" w:rsidR="00EE70E2" w:rsidRDefault="00EE70E2"/>
    <w:p w14:paraId="68109571" w14:textId="77777777" w:rsidR="00EE70E2" w:rsidRDefault="00000000">
      <w:pPr>
        <w:keepNext/>
        <w:spacing w:before="240"/>
        <w:jc w:val="center"/>
      </w:pPr>
      <w:r>
        <w:rPr>
          <w:b/>
          <w:color w:val="003366"/>
          <w:sz w:val="52"/>
        </w:rPr>
        <w:t>INTERNSHIP PROJECT REPORT</w:t>
      </w:r>
    </w:p>
    <w:p w14:paraId="1A76EAAE" w14:textId="77A24E34" w:rsidR="00281F25" w:rsidRPr="00281F25" w:rsidRDefault="00000000" w:rsidP="00281F25">
      <w:pPr>
        <w:keepNext/>
        <w:spacing w:before="240" w:after="480"/>
        <w:rPr>
          <w:b/>
          <w:color w:val="006699"/>
          <w:sz w:val="28"/>
        </w:rPr>
      </w:pPr>
      <w:proofErr w:type="spellStart"/>
      <w:r>
        <w:rPr>
          <w:b/>
          <w:color w:val="006699"/>
          <w:sz w:val="28"/>
        </w:rPr>
        <w:t>MedTrack</w:t>
      </w:r>
      <w:proofErr w:type="spellEnd"/>
      <w:r w:rsidR="003777D5">
        <w:rPr>
          <w:b/>
          <w:color w:val="006699"/>
          <w:sz w:val="28"/>
        </w:rPr>
        <w:t>(</w:t>
      </w:r>
      <w:r w:rsidR="009A0283">
        <w:rPr>
          <w:b/>
          <w:color w:val="006699"/>
          <w:sz w:val="28"/>
        </w:rPr>
        <w:t>DV)</w:t>
      </w:r>
      <w:r>
        <w:rPr>
          <w:b/>
          <w:color w:val="006699"/>
          <w:sz w:val="28"/>
        </w:rPr>
        <w:t>:</w:t>
      </w:r>
      <w:r w:rsidR="00281F25">
        <w:rPr>
          <w:b/>
          <w:color w:val="006699"/>
          <w:sz w:val="28"/>
        </w:rPr>
        <w:t xml:space="preserve"> </w:t>
      </w:r>
      <w:r w:rsidR="00281F25" w:rsidRPr="00281F25">
        <w:rPr>
          <w:b/>
          <w:bCs/>
          <w:color w:val="006699"/>
          <w:sz w:val="28"/>
        </w:rPr>
        <w:t>Hospital Performance Intelligence System</w:t>
      </w:r>
    </w:p>
    <w:p w14:paraId="5F41F667" w14:textId="5F15C40A" w:rsidR="00EE70E2" w:rsidRDefault="00EE70E2">
      <w:pPr>
        <w:keepNext/>
        <w:spacing w:before="240" w:after="480"/>
      </w:pPr>
    </w:p>
    <w:p w14:paraId="0096ABE8" w14:textId="2AB78BDD" w:rsidR="00EE70E2" w:rsidRDefault="00000000">
      <w:pPr>
        <w:spacing w:before="960"/>
        <w:jc w:val="center"/>
      </w:pPr>
      <w:r>
        <w:rPr>
          <w:sz w:val="24"/>
        </w:rPr>
        <w:br/>
        <w:t>IBM SkillsBuild Data Analytics with AI Academic Internship Program</w:t>
      </w:r>
      <w:r>
        <w:rPr>
          <w:sz w:val="24"/>
        </w:rPr>
        <w:br/>
        <w:t>In Association with AICTE &amp; BharatCares</w:t>
      </w:r>
      <w:r>
        <w:rPr>
          <w:sz w:val="24"/>
        </w:rPr>
        <w:br/>
      </w:r>
      <w:r>
        <w:rPr>
          <w:sz w:val="24"/>
        </w:rPr>
        <w:br/>
        <w:t>September 2026</w:t>
      </w:r>
      <w:r>
        <w:rPr>
          <w:sz w:val="24"/>
        </w:rPr>
        <w:br/>
      </w:r>
      <w:r>
        <w:rPr>
          <w:sz w:val="24"/>
        </w:rPr>
        <w:br/>
      </w:r>
    </w:p>
    <w:p w14:paraId="2F4D98A2" w14:textId="77777777" w:rsidR="00EE70E2" w:rsidRDefault="00EE70E2"/>
    <w:p w14:paraId="4EE53EEA" w14:textId="77777777" w:rsidR="00EE70E2" w:rsidRDefault="00EE70E2"/>
    <w:p w14:paraId="4BAB87F6" w14:textId="77777777" w:rsidR="00EE70E2" w:rsidRDefault="00EE70E2"/>
    <w:p w14:paraId="0E8BCE93" w14:textId="77777777" w:rsidR="00EE70E2" w:rsidRDefault="00EE70E2"/>
    <w:tbl>
      <w:tblPr>
        <w:tblW w:w="0" w:type="auto"/>
        <w:jc w:val="center"/>
        <w:tblLook w:val="04A0" w:firstRow="1" w:lastRow="0" w:firstColumn="1" w:lastColumn="0" w:noHBand="0" w:noVBand="1"/>
      </w:tblPr>
      <w:tblGrid>
        <w:gridCol w:w="4680"/>
        <w:gridCol w:w="4680"/>
      </w:tblGrid>
      <w:tr w:rsidR="00EE70E2" w14:paraId="7C802017" w14:textId="77777777">
        <w:trPr>
          <w:jc w:val="center"/>
        </w:trPr>
        <w:tc>
          <w:tcPr>
            <w:tcW w:w="4680" w:type="dxa"/>
            <w:tcMar>
              <w:top w:w="60" w:type="dxa"/>
              <w:left w:w="100" w:type="dxa"/>
              <w:bottom w:w="60" w:type="dxa"/>
              <w:right w:w="100" w:type="dxa"/>
            </w:tcMar>
          </w:tcPr>
          <w:p w14:paraId="24808797" w14:textId="77777777" w:rsidR="00EE70E2" w:rsidRDefault="00000000">
            <w:r>
              <w:rPr>
                <w:b/>
              </w:rPr>
              <w:t>Intern Name:</w:t>
            </w:r>
          </w:p>
        </w:tc>
        <w:tc>
          <w:tcPr>
            <w:tcW w:w="4680" w:type="dxa"/>
            <w:tcMar>
              <w:top w:w="60" w:type="dxa"/>
              <w:left w:w="100" w:type="dxa"/>
              <w:bottom w:w="60" w:type="dxa"/>
              <w:right w:w="100" w:type="dxa"/>
            </w:tcMar>
          </w:tcPr>
          <w:p w14:paraId="71DE6972" w14:textId="745BEAB3" w:rsidR="00EE70E2" w:rsidRDefault="00000000">
            <w:r>
              <w:t>C</w:t>
            </w:r>
            <w:r w:rsidR="00057F58">
              <w:t>HENNUBOYINA</w:t>
            </w:r>
            <w:r>
              <w:t xml:space="preserve"> </w:t>
            </w:r>
            <w:r w:rsidR="00057F58">
              <w:t>SIVA SRUTHI</w:t>
            </w:r>
          </w:p>
        </w:tc>
      </w:tr>
      <w:tr w:rsidR="00EE70E2" w14:paraId="097632AC" w14:textId="77777777">
        <w:trPr>
          <w:jc w:val="center"/>
        </w:trPr>
        <w:tc>
          <w:tcPr>
            <w:tcW w:w="4680" w:type="dxa"/>
            <w:tcMar>
              <w:top w:w="60" w:type="dxa"/>
              <w:left w:w="100" w:type="dxa"/>
              <w:bottom w:w="60" w:type="dxa"/>
              <w:right w:w="100" w:type="dxa"/>
            </w:tcMar>
          </w:tcPr>
          <w:p w14:paraId="5A5BFEED" w14:textId="77777777" w:rsidR="00EE70E2" w:rsidRDefault="00000000">
            <w:r>
              <w:rPr>
                <w:b/>
              </w:rPr>
              <w:t>Academic Profile:</w:t>
            </w:r>
          </w:p>
        </w:tc>
        <w:tc>
          <w:tcPr>
            <w:tcW w:w="4680" w:type="dxa"/>
            <w:tcMar>
              <w:top w:w="60" w:type="dxa"/>
              <w:left w:w="100" w:type="dxa"/>
              <w:bottom w:w="60" w:type="dxa"/>
              <w:right w:w="100" w:type="dxa"/>
            </w:tcMar>
          </w:tcPr>
          <w:p w14:paraId="164FAB95" w14:textId="5699B716" w:rsidR="00EE70E2" w:rsidRDefault="00000000">
            <w:r>
              <w:t xml:space="preserve">3rd Year </w:t>
            </w:r>
            <w:proofErr w:type="spellStart"/>
            <w:r>
              <w:t>B</w:t>
            </w:r>
            <w:r w:rsidR="00057F58">
              <w:t>.</w:t>
            </w:r>
            <w:r>
              <w:t>Tech</w:t>
            </w:r>
            <w:proofErr w:type="spellEnd"/>
            <w:r>
              <w:t xml:space="preserve">, </w:t>
            </w:r>
            <w:r w:rsidR="00057F58">
              <w:t xml:space="preserve">Electronics </w:t>
            </w:r>
            <w:r>
              <w:t xml:space="preserve">and </w:t>
            </w:r>
            <w:r w:rsidR="00057F58">
              <w:t xml:space="preserve">Communication </w:t>
            </w:r>
            <w:r>
              <w:t>Engineering</w:t>
            </w:r>
          </w:p>
        </w:tc>
      </w:tr>
      <w:tr w:rsidR="00EE70E2" w14:paraId="7C648545" w14:textId="77777777">
        <w:trPr>
          <w:jc w:val="center"/>
        </w:trPr>
        <w:tc>
          <w:tcPr>
            <w:tcW w:w="4680" w:type="dxa"/>
            <w:tcMar>
              <w:top w:w="60" w:type="dxa"/>
              <w:left w:w="100" w:type="dxa"/>
              <w:bottom w:w="60" w:type="dxa"/>
              <w:right w:w="100" w:type="dxa"/>
            </w:tcMar>
          </w:tcPr>
          <w:p w14:paraId="1682A529" w14:textId="77777777" w:rsidR="00EE70E2" w:rsidRDefault="00000000">
            <w:r>
              <w:rPr>
                <w:b/>
              </w:rPr>
              <w:t>Institution:</w:t>
            </w:r>
          </w:p>
        </w:tc>
        <w:tc>
          <w:tcPr>
            <w:tcW w:w="4680" w:type="dxa"/>
            <w:tcMar>
              <w:top w:w="60" w:type="dxa"/>
              <w:left w:w="100" w:type="dxa"/>
              <w:bottom w:w="60" w:type="dxa"/>
              <w:right w:w="100" w:type="dxa"/>
            </w:tcMar>
          </w:tcPr>
          <w:p w14:paraId="2D06E3F9" w14:textId="77777777" w:rsidR="00EE70E2" w:rsidRDefault="00000000">
            <w:r>
              <w:t>Seshadri Rao Gudlavalleru Engineering College</w:t>
            </w:r>
          </w:p>
        </w:tc>
      </w:tr>
      <w:tr w:rsidR="00EE70E2" w14:paraId="124E9641" w14:textId="77777777">
        <w:trPr>
          <w:jc w:val="center"/>
        </w:trPr>
        <w:tc>
          <w:tcPr>
            <w:tcW w:w="4680" w:type="dxa"/>
            <w:tcMar>
              <w:top w:w="60" w:type="dxa"/>
              <w:left w:w="100" w:type="dxa"/>
              <w:bottom w:w="60" w:type="dxa"/>
              <w:right w:w="100" w:type="dxa"/>
            </w:tcMar>
          </w:tcPr>
          <w:p w14:paraId="3759A2A6" w14:textId="77777777" w:rsidR="00EE70E2" w:rsidRDefault="00000000">
            <w:r>
              <w:rPr>
                <w:b/>
              </w:rPr>
              <w:t>Project Identification Track:</w:t>
            </w:r>
          </w:p>
        </w:tc>
        <w:tc>
          <w:tcPr>
            <w:tcW w:w="4680" w:type="dxa"/>
            <w:tcMar>
              <w:top w:w="60" w:type="dxa"/>
              <w:left w:w="100" w:type="dxa"/>
              <w:bottom w:w="60" w:type="dxa"/>
              <w:right w:w="100" w:type="dxa"/>
            </w:tcMar>
          </w:tcPr>
          <w:p w14:paraId="04C19A71" w14:textId="77777777" w:rsidR="00EE70E2" w:rsidRDefault="00000000">
            <w:r>
              <w:t>MedTrack Digital Healthcare Vision (MedTrack_DV)</w:t>
            </w:r>
          </w:p>
        </w:tc>
      </w:tr>
    </w:tbl>
    <w:p w14:paraId="6BE6EDBD" w14:textId="77777777" w:rsidR="00EE70E2" w:rsidRDefault="00000000">
      <w:r>
        <w:br w:type="page"/>
      </w:r>
    </w:p>
    <w:p w14:paraId="153B595C" w14:textId="77777777" w:rsidR="00EE70E2" w:rsidRDefault="00000000">
      <w:pPr>
        <w:keepNext/>
        <w:spacing w:before="240"/>
      </w:pPr>
      <w:r>
        <w:rPr>
          <w:b/>
          <w:color w:val="003366"/>
          <w:sz w:val="36"/>
        </w:rPr>
        <w:lastRenderedPageBreak/>
        <w:t>Table of Contents</w:t>
      </w:r>
    </w:p>
    <w:p w14:paraId="20DFCEE7" w14:textId="77777777" w:rsidR="00EE70E2" w:rsidRDefault="00000000">
      <w:pPr>
        <w:ind w:left="288"/>
      </w:pPr>
      <w:r>
        <w:t>1. Executive Summary</w:t>
      </w:r>
    </w:p>
    <w:p w14:paraId="45113B66" w14:textId="77777777" w:rsidR="00EE70E2" w:rsidRDefault="00000000">
      <w:pPr>
        <w:ind w:left="288"/>
      </w:pPr>
      <w:r>
        <w:t>2. Project Context &amp; Objectives</w:t>
      </w:r>
    </w:p>
    <w:p w14:paraId="41209CD5" w14:textId="77777777" w:rsidR="00EE70E2" w:rsidRDefault="00000000">
      <w:pPr>
        <w:ind w:left="288"/>
      </w:pPr>
      <w:r>
        <w:t>3. Dataset Profile &amp; Data Architecture</w:t>
      </w:r>
    </w:p>
    <w:p w14:paraId="1B2D7CFC" w14:textId="77777777" w:rsidR="00EE70E2" w:rsidRDefault="00000000">
      <w:pPr>
        <w:ind w:left="288"/>
      </w:pPr>
      <w:r>
        <w:t>4. Data Quality, Cleaning &amp; Engineering Pipeline</w:t>
      </w:r>
    </w:p>
    <w:p w14:paraId="3B208EB6" w14:textId="77777777" w:rsidR="00EE70E2" w:rsidRDefault="00000000">
      <w:pPr>
        <w:ind w:left="288"/>
      </w:pPr>
      <w:r>
        <w:t>5. KPI Engineering &amp; Automated Analytics Engine</w:t>
      </w:r>
    </w:p>
    <w:p w14:paraId="6B0FBAAD" w14:textId="77777777" w:rsidR="00EE70E2" w:rsidRDefault="00000000">
      <w:pPr>
        <w:ind w:left="288"/>
      </w:pPr>
      <w:r>
        <w:t>6. Interactive Power BI Dashboard Blueprint</w:t>
      </w:r>
    </w:p>
    <w:p w14:paraId="55796187" w14:textId="77777777" w:rsidR="00EE70E2" w:rsidRDefault="00000000">
      <w:pPr>
        <w:ind w:left="288"/>
      </w:pPr>
      <w:r>
        <w:t>7. Analytical Insights &amp; Strategic Recommendations</w:t>
      </w:r>
    </w:p>
    <w:p w14:paraId="2C9F5A6D" w14:textId="77777777" w:rsidR="00EE70E2" w:rsidRDefault="00000000">
      <w:pPr>
        <w:ind w:left="288"/>
      </w:pPr>
      <w:r>
        <w:t>8. Verification &amp; Project Checklist Compliance</w:t>
      </w:r>
    </w:p>
    <w:p w14:paraId="785CCE07" w14:textId="77777777" w:rsidR="00EE70E2" w:rsidRDefault="00000000">
      <w:pPr>
        <w:ind w:left="288"/>
      </w:pPr>
      <w:r>
        <w:t>9. Conclusion &amp; Next Steps</w:t>
      </w:r>
    </w:p>
    <w:p w14:paraId="1B58D8DB" w14:textId="77777777" w:rsidR="00EE70E2" w:rsidRDefault="00000000">
      <w:r>
        <w:br w:type="page"/>
      </w:r>
    </w:p>
    <w:p w14:paraId="3A841C35" w14:textId="77777777" w:rsidR="00EE70E2" w:rsidRDefault="00000000">
      <w:pPr>
        <w:keepNext/>
        <w:spacing w:before="240"/>
      </w:pPr>
      <w:r>
        <w:rPr>
          <w:b/>
          <w:color w:val="003366"/>
          <w:sz w:val="36"/>
        </w:rPr>
        <w:lastRenderedPageBreak/>
        <w:t>1. Executive Summary</w:t>
      </w:r>
    </w:p>
    <w:p w14:paraId="793ADE23" w14:textId="77777777" w:rsidR="00EE70E2" w:rsidRDefault="00000000">
      <w:r>
        <w:t>This project report details the design, engineering, and implementation of MedTrack, a production-grade healthcare intelligence ecosystem developed during the IBM SkillsBuild Data Analytics with AI Academic Internship Program. Modern medical systems collect massive amounts of transaction data, yet often lack automated engines to turn these logs into optimized clinical or financial insights. The MedTrack system resolves this gap by linking an automated Python-based data cleaning and KPI generation engine with a highly polished Power BI dashboard.</w:t>
      </w:r>
    </w:p>
    <w:p w14:paraId="6268F074" w14:textId="77777777" w:rsidR="00EE70E2" w:rsidRDefault="00000000">
      <w:r>
        <w:t>Using a master transaction feed of 10,000 comprehensive patient records, the analytics pipeline completely isolated data inconsistencies, handled multi-department variables, and engineered an array of advanced medical key performance indicators. The metrics show critical system parameters including an Average Length of Stay (LOS) of 20.40 days, an overall Readmission Rate of 50.00%, and a comprehensive Department Efficiency Score of 99.66. This automated structural design equips healthcare operators with the exact tools needed to locate resource bottlenecks, streamline billing transparency, and fundamentally improve clinical care delivery.</w:t>
      </w:r>
    </w:p>
    <w:p w14:paraId="6EDD8933" w14:textId="77777777" w:rsidR="00EE70E2" w:rsidRDefault="00000000">
      <w:pPr>
        <w:keepNext/>
        <w:spacing w:before="240"/>
      </w:pPr>
      <w:r>
        <w:rPr>
          <w:b/>
          <w:color w:val="003366"/>
          <w:sz w:val="36"/>
        </w:rPr>
        <w:t>2. Project Context &amp; Objectives</w:t>
      </w:r>
    </w:p>
    <w:p w14:paraId="43E55B6B" w14:textId="77777777" w:rsidR="00EE70E2" w:rsidRDefault="00000000">
      <w:r>
        <w:t>This initiative is developed under the academic framework of the IBM SkillsBuild Internship in association with AICTE and BharatCares. The core objective is to move past manual, descriptive database reporting and build a modern, automated healthcare dashboard track (MedTrack_DV).</w:t>
      </w:r>
    </w:p>
    <w:p w14:paraId="50F0F54E" w14:textId="77777777" w:rsidR="00EE70E2" w:rsidRDefault="00000000">
      <w:r>
        <w:t>The primary technical and operational milestones established for this project include:</w:t>
      </w:r>
    </w:p>
    <w:p w14:paraId="46FF9E95" w14:textId="77777777" w:rsidR="00EE70E2" w:rsidRDefault="00000000">
      <w:pPr>
        <w:pStyle w:val="ListBullet"/>
      </w:pPr>
      <w:r>
        <w:t>Build a reproducible Python data pipe to clear transaction datasets of real-world anomalies, corrupted tags, and structural mismatches.</w:t>
      </w:r>
    </w:p>
    <w:p w14:paraId="57738D86" w14:textId="77777777" w:rsidR="00EE70E2" w:rsidRDefault="00000000">
      <w:pPr>
        <w:pStyle w:val="ListBullet"/>
      </w:pPr>
      <w:r>
        <w:t>Formulate and compute precise high-utility operational KPIs using mathematical validation to monitor hospital performance metrics.</w:t>
      </w:r>
    </w:p>
    <w:p w14:paraId="07092DE4" w14:textId="77777777" w:rsidR="00EE70E2" w:rsidRDefault="00000000">
      <w:pPr>
        <w:pStyle w:val="ListBullet"/>
      </w:pPr>
      <w:r>
        <w:t>Deliver an enterprise-ready, interactive Power BI tracking dashboard featuring executive metrics, billing breakdowns, and specific care insight maps.</w:t>
      </w:r>
    </w:p>
    <w:p w14:paraId="06324000" w14:textId="77777777" w:rsidR="00EE70E2" w:rsidRDefault="00000000">
      <w:pPr>
        <w:pStyle w:val="ListBullet"/>
      </w:pPr>
      <w:r>
        <w:t>Create a reliable, production-ready environment profile using pinned version protocols to support zero-fault workspace delivery.</w:t>
      </w:r>
    </w:p>
    <w:p w14:paraId="50CDEE01" w14:textId="77777777" w:rsidR="00EE70E2" w:rsidRDefault="00000000">
      <w:pPr>
        <w:keepNext/>
        <w:spacing w:before="240"/>
      </w:pPr>
      <w:r>
        <w:rPr>
          <w:b/>
          <w:color w:val="003366"/>
          <w:sz w:val="36"/>
        </w:rPr>
        <w:t>3. Dataset Profile &amp; Data Architecture</w:t>
      </w:r>
    </w:p>
    <w:p w14:paraId="07308A70" w14:textId="77777777" w:rsidR="00EE70E2" w:rsidRDefault="00000000">
      <w:r>
        <w:t>The analytical engine uses a transactional source file titled 'hospital_raw_data.csv' tracking 10,000 distinct clinical histories. The database framework spans 77 separate columns that encapsulate the complete lifecycle of a patient's interaction with the regional healthcare network. The features are organized across three distinct data architecture tiers:</w:t>
      </w:r>
    </w:p>
    <w:p w14:paraId="6C3B97A4" w14:textId="77777777" w:rsidR="00EE70E2" w:rsidRDefault="00000000">
      <w:pPr>
        <w:pStyle w:val="ListBullet"/>
      </w:pPr>
      <w:r>
        <w:t>Clinical Metrics Layer: Documents patient diagnostics, including unique Patient IDs, Age, Gender, Blood Type, specific Admission and Discharge timelines, Primary Diagnoses, Treatment Regimens, Medication Logs, and Follow-up requirements.</w:t>
      </w:r>
    </w:p>
    <w:p w14:paraId="45356E2E" w14:textId="77777777" w:rsidR="00EE70E2" w:rsidRDefault="00000000">
      <w:pPr>
        <w:pStyle w:val="ListBullet"/>
      </w:pPr>
      <w:r>
        <w:lastRenderedPageBreak/>
        <w:t>Resource and Operational Layer: Monitors facility parameters, tracking Hospital Names, Type classifications (Private vs. Government), Department IDs, Staff Counts, Nurse Allocation matrices, Room/Bed mapping numbers, Bed Occupancy status, Equipment Inventory logs, and Transfer logs.</w:t>
      </w:r>
    </w:p>
    <w:p w14:paraId="2DD0C170" w14:textId="77777777" w:rsidR="00EE70E2" w:rsidRDefault="00000000">
      <w:pPr>
        <w:pStyle w:val="ListBullet"/>
      </w:pPr>
      <w:r>
        <w:t>Financial and Intelligence Layer: Focuses on administrative revenue cycles, tracking absolute Billing Amounts, integrated Insurance Providers, Payment Status tags, Patient Satisfaction scores, and Readmission tracking flags.</w:t>
      </w:r>
    </w:p>
    <w:p w14:paraId="3C99C0A7" w14:textId="77777777" w:rsidR="00EE70E2" w:rsidRDefault="00000000">
      <w:pPr>
        <w:keepNext/>
        <w:spacing w:before="240"/>
      </w:pPr>
      <w:r>
        <w:rPr>
          <w:b/>
          <w:color w:val="003366"/>
          <w:sz w:val="36"/>
        </w:rPr>
        <w:t>4. Data Quality, Cleaning &amp; Engineering Pipeline</w:t>
      </w:r>
    </w:p>
    <w:p w14:paraId="71808DC6" w14:textId="77777777" w:rsidR="00EE70E2" w:rsidRDefault="00000000">
      <w:r>
        <w:t>To guarantee data safety for the downstream analytics engine and ensure accurate visual representations, the source files underwent a rigorous multi-stage data engineering and cleaning workflow inside a Jupyter Notebook environment running Python 3.11.5.</w:t>
      </w:r>
    </w:p>
    <w:p w14:paraId="6BCBCD3A" w14:textId="77777777" w:rsidR="00EE70E2" w:rsidRDefault="00000000">
      <w:pPr>
        <w:keepNext/>
        <w:spacing w:before="240"/>
      </w:pPr>
      <w:r>
        <w:rPr>
          <w:b/>
          <w:color w:val="006699"/>
          <w:sz w:val="28"/>
        </w:rPr>
        <w:t>Data Scrubbing Logic and Transformations:</w:t>
      </w:r>
    </w:p>
    <w:p w14:paraId="048D2448" w14:textId="77777777" w:rsidR="00EE70E2" w:rsidRDefault="00000000">
      <w:pPr>
        <w:pStyle w:val="ListBullet"/>
      </w:pPr>
      <w:r>
        <w:t>Structural Column Stripping: Standardized all variable headers using strict string stripping to eliminate accidental trailing spaces. Irrelevant columns mimicking index lines (such as 'Unnamed' arrays) were dropped.</w:t>
      </w:r>
    </w:p>
    <w:p w14:paraId="35B59B86" w14:textId="77777777" w:rsidR="00EE70E2" w:rsidRDefault="00000000">
      <w:pPr>
        <w:pStyle w:val="ListBullet"/>
      </w:pPr>
      <w:r>
        <w:t>Corrupted Records Purging: Discovered and removed invalid separator characters, row placeholders, and mock strings (such as '=======' text breaks), restoring the dataframe to a clean transactional layer.</w:t>
      </w:r>
    </w:p>
    <w:p w14:paraId="131C3475" w14:textId="77777777" w:rsidR="00EE70E2" w:rsidRDefault="00000000">
      <w:pPr>
        <w:pStyle w:val="ListBullet"/>
      </w:pPr>
      <w:r>
        <w:t>Missing Feature Engineering: Applied automated data-filling logic where numeric fields with missing elements were filled with column medians, and object classifications were populated with column mode values, successfully bringing missing values to zero.</w:t>
      </w:r>
    </w:p>
    <w:p w14:paraId="3C1518A3" w14:textId="77777777" w:rsidR="00EE70E2" w:rsidRDefault="00000000">
      <w:pPr>
        <w:pStyle w:val="ListBullet"/>
      </w:pPr>
      <w:r>
        <w:t>Department Tag Standardization: Standardized text entries using title-case transformations and mapped variations (such as 'Cardio' or 'Cardiology Dept') into a single unified category header ('Cardiology').</w:t>
      </w:r>
    </w:p>
    <w:p w14:paraId="105EFE88" w14:textId="77777777" w:rsidR="00EE70E2" w:rsidRDefault="00000000">
      <w:pPr>
        <w:pStyle w:val="ListBullet"/>
      </w:pPr>
      <w:r>
        <w:t>Datetime Conversion &amp; Formatting: Extracted date variables from mixed text representations and converted them to uniform pandas datetime formats, exporting final timelines using the standardized '%d-%m-%Y' formatting convention.</w:t>
      </w:r>
    </w:p>
    <w:p w14:paraId="27576EAA" w14:textId="77777777" w:rsidR="00EE70E2" w:rsidRDefault="00000000">
      <w:pPr>
        <w:keepNext/>
        <w:spacing w:before="240"/>
      </w:pPr>
      <w:r>
        <w:rPr>
          <w:b/>
          <w:color w:val="003366"/>
          <w:sz w:val="36"/>
        </w:rPr>
        <w:t>5. KPI Engineering &amp; Automated Analytics Engine</w:t>
      </w:r>
    </w:p>
    <w:p w14:paraId="603D3FA1" w14:textId="77777777" w:rsidR="00EE70E2" w:rsidRDefault="00000000">
      <w:r>
        <w:t>The core analytics engine uses a dedicated Python script ('generate_hospital_kpis.py') that calculates hospital KPIs. The computed metrics are integrated directly back into the dataset array, establishing a rich, verified analytics data layer. The nine core hospital KPIs tracked by the MedTrack system are defined below:</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EE70E2" w14:paraId="410A0F88" w14:textId="77777777">
        <w:trPr>
          <w:jc w:val="center"/>
        </w:trPr>
        <w:tc>
          <w:tcPr>
            <w:tcW w:w="3120" w:type="dxa"/>
            <w:shd w:val="clear" w:color="auto" w:fill="003366"/>
            <w:tcMar>
              <w:top w:w="120" w:type="dxa"/>
              <w:left w:w="150" w:type="dxa"/>
              <w:bottom w:w="120" w:type="dxa"/>
              <w:right w:w="150" w:type="dxa"/>
            </w:tcMar>
          </w:tcPr>
          <w:p w14:paraId="28BEF575" w14:textId="77777777" w:rsidR="00EE70E2" w:rsidRDefault="00000000">
            <w:r>
              <w:rPr>
                <w:b/>
                <w:color w:val="FFFFFF"/>
              </w:rPr>
              <w:t>Core Performance Indicator</w:t>
            </w:r>
          </w:p>
        </w:tc>
        <w:tc>
          <w:tcPr>
            <w:tcW w:w="3120" w:type="dxa"/>
            <w:shd w:val="clear" w:color="auto" w:fill="003366"/>
            <w:tcMar>
              <w:top w:w="120" w:type="dxa"/>
              <w:left w:w="150" w:type="dxa"/>
              <w:bottom w:w="120" w:type="dxa"/>
              <w:right w:w="150" w:type="dxa"/>
            </w:tcMar>
          </w:tcPr>
          <w:p w14:paraId="40DB478B" w14:textId="77777777" w:rsidR="00EE70E2" w:rsidRDefault="00000000">
            <w:r>
              <w:rPr>
                <w:b/>
                <w:color w:val="FFFFFF"/>
              </w:rPr>
              <w:t>Mathematical Formulation / Logic</w:t>
            </w:r>
          </w:p>
        </w:tc>
        <w:tc>
          <w:tcPr>
            <w:tcW w:w="3120" w:type="dxa"/>
            <w:shd w:val="clear" w:color="auto" w:fill="003366"/>
            <w:tcMar>
              <w:top w:w="120" w:type="dxa"/>
              <w:left w:w="150" w:type="dxa"/>
              <w:bottom w:w="120" w:type="dxa"/>
              <w:right w:w="150" w:type="dxa"/>
            </w:tcMar>
          </w:tcPr>
          <w:p w14:paraId="3754889F" w14:textId="77777777" w:rsidR="00EE70E2" w:rsidRDefault="00000000">
            <w:r>
              <w:rPr>
                <w:b/>
                <w:color w:val="FFFFFF"/>
              </w:rPr>
              <w:t>Pipeline Value</w:t>
            </w:r>
          </w:p>
        </w:tc>
      </w:tr>
      <w:tr w:rsidR="00EE70E2" w14:paraId="1F9CC28A" w14:textId="77777777">
        <w:trPr>
          <w:jc w:val="center"/>
        </w:trPr>
        <w:tc>
          <w:tcPr>
            <w:tcW w:w="3120" w:type="dxa"/>
            <w:shd w:val="clear" w:color="auto" w:fill="FFFFFF"/>
            <w:tcMar>
              <w:top w:w="100" w:type="dxa"/>
              <w:left w:w="150" w:type="dxa"/>
              <w:bottom w:w="100" w:type="dxa"/>
              <w:right w:w="150" w:type="dxa"/>
            </w:tcMar>
          </w:tcPr>
          <w:p w14:paraId="3A02B118" w14:textId="77777777" w:rsidR="00EE70E2" w:rsidRDefault="00000000">
            <w:r>
              <w:t>Total Admissions</w:t>
            </w:r>
          </w:p>
        </w:tc>
        <w:tc>
          <w:tcPr>
            <w:tcW w:w="3120" w:type="dxa"/>
            <w:shd w:val="clear" w:color="auto" w:fill="FFFFFF"/>
            <w:tcMar>
              <w:top w:w="100" w:type="dxa"/>
              <w:left w:w="150" w:type="dxa"/>
              <w:bottom w:w="100" w:type="dxa"/>
              <w:right w:w="150" w:type="dxa"/>
            </w:tcMar>
          </w:tcPr>
          <w:p w14:paraId="1450B3A6" w14:textId="77777777" w:rsidR="00EE70E2" w:rsidRDefault="00000000">
            <w:r>
              <w:t xml:space="preserve">Total rows count within the processed transactional </w:t>
            </w:r>
            <w:r>
              <w:lastRenderedPageBreak/>
              <w:t>layer</w:t>
            </w:r>
          </w:p>
        </w:tc>
        <w:tc>
          <w:tcPr>
            <w:tcW w:w="3120" w:type="dxa"/>
            <w:shd w:val="clear" w:color="auto" w:fill="FFFFFF"/>
            <w:tcMar>
              <w:top w:w="100" w:type="dxa"/>
              <w:left w:w="150" w:type="dxa"/>
              <w:bottom w:w="100" w:type="dxa"/>
              <w:right w:w="150" w:type="dxa"/>
            </w:tcMar>
          </w:tcPr>
          <w:p w14:paraId="7708972E" w14:textId="77777777" w:rsidR="00EE70E2" w:rsidRDefault="00000000">
            <w:r>
              <w:lastRenderedPageBreak/>
              <w:t>10,000 Patients</w:t>
            </w:r>
          </w:p>
        </w:tc>
      </w:tr>
      <w:tr w:rsidR="00EE70E2" w14:paraId="515A350E" w14:textId="77777777">
        <w:trPr>
          <w:jc w:val="center"/>
        </w:trPr>
        <w:tc>
          <w:tcPr>
            <w:tcW w:w="3120" w:type="dxa"/>
            <w:shd w:val="clear" w:color="auto" w:fill="F2F2F2"/>
            <w:tcMar>
              <w:top w:w="100" w:type="dxa"/>
              <w:left w:w="150" w:type="dxa"/>
              <w:bottom w:w="100" w:type="dxa"/>
              <w:right w:w="150" w:type="dxa"/>
            </w:tcMar>
          </w:tcPr>
          <w:p w14:paraId="5BDFE14D" w14:textId="77777777" w:rsidR="00EE70E2" w:rsidRDefault="00000000">
            <w:r>
              <w:t>Average Length of Stay</w:t>
            </w:r>
          </w:p>
        </w:tc>
        <w:tc>
          <w:tcPr>
            <w:tcW w:w="3120" w:type="dxa"/>
            <w:shd w:val="clear" w:color="auto" w:fill="F2F2F2"/>
            <w:tcMar>
              <w:top w:w="100" w:type="dxa"/>
              <w:left w:w="150" w:type="dxa"/>
              <w:bottom w:w="100" w:type="dxa"/>
              <w:right w:w="150" w:type="dxa"/>
            </w:tcMar>
          </w:tcPr>
          <w:p w14:paraId="36D33784" w14:textId="77777777" w:rsidR="00EE70E2" w:rsidRDefault="00000000">
            <w:r>
              <w:t>Mean of (Discharge Date - Admission Date), clipped to standard 1–30 range</w:t>
            </w:r>
          </w:p>
        </w:tc>
        <w:tc>
          <w:tcPr>
            <w:tcW w:w="3120" w:type="dxa"/>
            <w:shd w:val="clear" w:color="auto" w:fill="F2F2F2"/>
            <w:tcMar>
              <w:top w:w="100" w:type="dxa"/>
              <w:left w:w="150" w:type="dxa"/>
              <w:bottom w:w="100" w:type="dxa"/>
              <w:right w:w="150" w:type="dxa"/>
            </w:tcMar>
          </w:tcPr>
          <w:p w14:paraId="6005960C" w14:textId="77777777" w:rsidR="00EE70E2" w:rsidRDefault="00000000">
            <w:r>
              <w:t>20.40 Days</w:t>
            </w:r>
          </w:p>
        </w:tc>
      </w:tr>
      <w:tr w:rsidR="00EE70E2" w14:paraId="0AB9AB5D" w14:textId="77777777">
        <w:trPr>
          <w:jc w:val="center"/>
        </w:trPr>
        <w:tc>
          <w:tcPr>
            <w:tcW w:w="3120" w:type="dxa"/>
            <w:shd w:val="clear" w:color="auto" w:fill="FFFFFF"/>
            <w:tcMar>
              <w:top w:w="100" w:type="dxa"/>
              <w:left w:w="150" w:type="dxa"/>
              <w:bottom w:w="100" w:type="dxa"/>
              <w:right w:w="150" w:type="dxa"/>
            </w:tcMar>
          </w:tcPr>
          <w:p w14:paraId="0CB24D1B" w14:textId="77777777" w:rsidR="00EE70E2" w:rsidRDefault="00000000">
            <w:r>
              <w:t>Readmission Rate</w:t>
            </w:r>
          </w:p>
        </w:tc>
        <w:tc>
          <w:tcPr>
            <w:tcW w:w="3120" w:type="dxa"/>
            <w:shd w:val="clear" w:color="auto" w:fill="FFFFFF"/>
            <w:tcMar>
              <w:top w:w="100" w:type="dxa"/>
              <w:left w:w="150" w:type="dxa"/>
              <w:bottom w:w="100" w:type="dxa"/>
              <w:right w:w="150" w:type="dxa"/>
            </w:tcMar>
          </w:tcPr>
          <w:p w14:paraId="2F44B151" w14:textId="77777777" w:rsidR="00EE70E2" w:rsidRDefault="00000000">
            <w:r>
              <w:t>Mean of active Readmission Flags across the entire patient matrix</w:t>
            </w:r>
          </w:p>
        </w:tc>
        <w:tc>
          <w:tcPr>
            <w:tcW w:w="3120" w:type="dxa"/>
            <w:shd w:val="clear" w:color="auto" w:fill="FFFFFF"/>
            <w:tcMar>
              <w:top w:w="100" w:type="dxa"/>
              <w:left w:w="150" w:type="dxa"/>
              <w:bottom w:w="100" w:type="dxa"/>
              <w:right w:w="150" w:type="dxa"/>
            </w:tcMar>
          </w:tcPr>
          <w:p w14:paraId="79534637" w14:textId="77777777" w:rsidR="00EE70E2" w:rsidRDefault="00000000">
            <w:r>
              <w:t>50.00%</w:t>
            </w:r>
          </w:p>
        </w:tc>
      </w:tr>
      <w:tr w:rsidR="00EE70E2" w14:paraId="52A78916" w14:textId="77777777">
        <w:trPr>
          <w:jc w:val="center"/>
        </w:trPr>
        <w:tc>
          <w:tcPr>
            <w:tcW w:w="3120" w:type="dxa"/>
            <w:shd w:val="clear" w:color="auto" w:fill="F2F2F2"/>
            <w:tcMar>
              <w:top w:w="100" w:type="dxa"/>
              <w:left w:w="150" w:type="dxa"/>
              <w:bottom w:w="100" w:type="dxa"/>
              <w:right w:w="150" w:type="dxa"/>
            </w:tcMar>
          </w:tcPr>
          <w:p w14:paraId="0FEFBA2C" w14:textId="77777777" w:rsidR="00EE70E2" w:rsidRDefault="00000000">
            <w:r>
              <w:t>Bed Occupancy Rate</w:t>
            </w:r>
          </w:p>
        </w:tc>
        <w:tc>
          <w:tcPr>
            <w:tcW w:w="3120" w:type="dxa"/>
            <w:shd w:val="clear" w:color="auto" w:fill="F2F2F2"/>
            <w:tcMar>
              <w:top w:w="100" w:type="dxa"/>
              <w:left w:w="150" w:type="dxa"/>
              <w:bottom w:w="100" w:type="dxa"/>
              <w:right w:w="150" w:type="dxa"/>
            </w:tcMar>
          </w:tcPr>
          <w:p w14:paraId="7AC5E3FA" w14:textId="77777777" w:rsidR="00EE70E2" w:rsidRDefault="00000000">
            <w:r>
              <w:t>Mean value of engineered Bed Occupancy Rate Calculation variables</w:t>
            </w:r>
          </w:p>
        </w:tc>
        <w:tc>
          <w:tcPr>
            <w:tcW w:w="3120" w:type="dxa"/>
            <w:shd w:val="clear" w:color="auto" w:fill="F2F2F2"/>
            <w:tcMar>
              <w:top w:w="100" w:type="dxa"/>
              <w:left w:w="150" w:type="dxa"/>
              <w:bottom w:w="100" w:type="dxa"/>
              <w:right w:w="150" w:type="dxa"/>
            </w:tcMar>
          </w:tcPr>
          <w:p w14:paraId="14C7DE4A" w14:textId="77777777" w:rsidR="00EE70E2" w:rsidRDefault="00000000">
            <w:r>
              <w:t>50.00%</w:t>
            </w:r>
          </w:p>
        </w:tc>
      </w:tr>
      <w:tr w:rsidR="00EE70E2" w14:paraId="5E11BBF6" w14:textId="77777777">
        <w:trPr>
          <w:jc w:val="center"/>
        </w:trPr>
        <w:tc>
          <w:tcPr>
            <w:tcW w:w="3120" w:type="dxa"/>
            <w:shd w:val="clear" w:color="auto" w:fill="FFFFFF"/>
            <w:tcMar>
              <w:top w:w="100" w:type="dxa"/>
              <w:left w:w="150" w:type="dxa"/>
              <w:bottom w:w="100" w:type="dxa"/>
              <w:right w:w="150" w:type="dxa"/>
            </w:tcMar>
          </w:tcPr>
          <w:p w14:paraId="0042E06C" w14:textId="77777777" w:rsidR="00EE70E2" w:rsidRDefault="00000000">
            <w:r>
              <w:t>ICU Utilization Rate</w:t>
            </w:r>
          </w:p>
        </w:tc>
        <w:tc>
          <w:tcPr>
            <w:tcW w:w="3120" w:type="dxa"/>
            <w:shd w:val="clear" w:color="auto" w:fill="FFFFFF"/>
            <w:tcMar>
              <w:top w:w="100" w:type="dxa"/>
              <w:left w:w="150" w:type="dxa"/>
              <w:bottom w:w="100" w:type="dxa"/>
              <w:right w:w="150" w:type="dxa"/>
            </w:tcMar>
          </w:tcPr>
          <w:p w14:paraId="20A83107" w14:textId="77777777" w:rsidR="00EE70E2" w:rsidRDefault="00000000">
            <w:r>
              <w:t>Mean value of ICU Occupancy calculations divided by 100</w:t>
            </w:r>
          </w:p>
        </w:tc>
        <w:tc>
          <w:tcPr>
            <w:tcW w:w="3120" w:type="dxa"/>
            <w:shd w:val="clear" w:color="auto" w:fill="FFFFFF"/>
            <w:tcMar>
              <w:top w:w="100" w:type="dxa"/>
              <w:left w:w="150" w:type="dxa"/>
              <w:bottom w:w="100" w:type="dxa"/>
              <w:right w:w="150" w:type="dxa"/>
            </w:tcMar>
          </w:tcPr>
          <w:p w14:paraId="6F6DB04F" w14:textId="77777777" w:rsidR="00EE70E2" w:rsidRDefault="00000000">
            <w:r>
              <w:t>50.00%</w:t>
            </w:r>
          </w:p>
        </w:tc>
      </w:tr>
      <w:tr w:rsidR="00EE70E2" w14:paraId="47D01E9E" w14:textId="77777777">
        <w:trPr>
          <w:jc w:val="center"/>
        </w:trPr>
        <w:tc>
          <w:tcPr>
            <w:tcW w:w="3120" w:type="dxa"/>
            <w:shd w:val="clear" w:color="auto" w:fill="F2F2F2"/>
            <w:tcMar>
              <w:top w:w="100" w:type="dxa"/>
              <w:left w:w="150" w:type="dxa"/>
              <w:bottom w:w="100" w:type="dxa"/>
              <w:right w:w="150" w:type="dxa"/>
            </w:tcMar>
          </w:tcPr>
          <w:p w14:paraId="6964B08B" w14:textId="77777777" w:rsidR="00EE70E2" w:rsidRDefault="00000000">
            <w:r>
              <w:t>Staff Utilization Rate</w:t>
            </w:r>
          </w:p>
        </w:tc>
        <w:tc>
          <w:tcPr>
            <w:tcW w:w="3120" w:type="dxa"/>
            <w:shd w:val="clear" w:color="auto" w:fill="F2F2F2"/>
            <w:tcMar>
              <w:top w:w="100" w:type="dxa"/>
              <w:left w:w="150" w:type="dxa"/>
              <w:bottom w:w="100" w:type="dxa"/>
              <w:right w:w="150" w:type="dxa"/>
            </w:tcMar>
          </w:tcPr>
          <w:p w14:paraId="56D5BF14" w14:textId="77777777" w:rsidR="00EE70E2" w:rsidRDefault="00000000">
            <w:r>
              <w:t>Mean calculation of the Staff Utilization tracking matrices / 100</w:t>
            </w:r>
          </w:p>
        </w:tc>
        <w:tc>
          <w:tcPr>
            <w:tcW w:w="3120" w:type="dxa"/>
            <w:shd w:val="clear" w:color="auto" w:fill="F2F2F2"/>
            <w:tcMar>
              <w:top w:w="100" w:type="dxa"/>
              <w:left w:w="150" w:type="dxa"/>
              <w:bottom w:w="100" w:type="dxa"/>
              <w:right w:w="150" w:type="dxa"/>
            </w:tcMar>
          </w:tcPr>
          <w:p w14:paraId="61104266" w14:textId="77777777" w:rsidR="00EE70E2" w:rsidRDefault="00000000">
            <w:r>
              <w:t>50.00%</w:t>
            </w:r>
          </w:p>
        </w:tc>
      </w:tr>
      <w:tr w:rsidR="00EE70E2" w14:paraId="1C6F6225" w14:textId="77777777">
        <w:trPr>
          <w:jc w:val="center"/>
        </w:trPr>
        <w:tc>
          <w:tcPr>
            <w:tcW w:w="3120" w:type="dxa"/>
            <w:shd w:val="clear" w:color="auto" w:fill="FFFFFF"/>
            <w:tcMar>
              <w:top w:w="100" w:type="dxa"/>
              <w:left w:w="150" w:type="dxa"/>
              <w:bottom w:w="100" w:type="dxa"/>
              <w:right w:w="150" w:type="dxa"/>
            </w:tcMar>
          </w:tcPr>
          <w:p w14:paraId="16336BE4" w14:textId="77777777" w:rsidR="00EE70E2" w:rsidRDefault="00000000">
            <w:r>
              <w:t>Equipment Utilization Rate</w:t>
            </w:r>
          </w:p>
        </w:tc>
        <w:tc>
          <w:tcPr>
            <w:tcW w:w="3120" w:type="dxa"/>
            <w:shd w:val="clear" w:color="auto" w:fill="FFFFFF"/>
            <w:tcMar>
              <w:top w:w="100" w:type="dxa"/>
              <w:left w:w="150" w:type="dxa"/>
              <w:bottom w:w="100" w:type="dxa"/>
              <w:right w:w="150" w:type="dxa"/>
            </w:tcMar>
          </w:tcPr>
          <w:p w14:paraId="4DBED129" w14:textId="77777777" w:rsidR="00EE70E2" w:rsidRDefault="00000000">
            <w:r>
              <w:t>Mean calculation of operational Equipment In-Use Flag fields</w:t>
            </w:r>
          </w:p>
        </w:tc>
        <w:tc>
          <w:tcPr>
            <w:tcW w:w="3120" w:type="dxa"/>
            <w:shd w:val="clear" w:color="auto" w:fill="FFFFFF"/>
            <w:tcMar>
              <w:top w:w="100" w:type="dxa"/>
              <w:left w:w="150" w:type="dxa"/>
              <w:bottom w:w="100" w:type="dxa"/>
              <w:right w:w="150" w:type="dxa"/>
            </w:tcMar>
          </w:tcPr>
          <w:p w14:paraId="2C6AE8BD" w14:textId="77777777" w:rsidR="00EE70E2" w:rsidRDefault="00000000">
            <w:r>
              <w:t>34.00%</w:t>
            </w:r>
          </w:p>
        </w:tc>
      </w:tr>
      <w:tr w:rsidR="00EE70E2" w14:paraId="2743CDCC" w14:textId="77777777">
        <w:trPr>
          <w:jc w:val="center"/>
        </w:trPr>
        <w:tc>
          <w:tcPr>
            <w:tcW w:w="3120" w:type="dxa"/>
            <w:shd w:val="clear" w:color="auto" w:fill="F2F2F2"/>
            <w:tcMar>
              <w:top w:w="100" w:type="dxa"/>
              <w:left w:w="150" w:type="dxa"/>
              <w:bottom w:w="100" w:type="dxa"/>
              <w:right w:w="150" w:type="dxa"/>
            </w:tcMar>
          </w:tcPr>
          <w:p w14:paraId="7814E3DB" w14:textId="77777777" w:rsidR="00EE70E2" w:rsidRDefault="00000000">
            <w:r>
              <w:t>Patient Transfer Rate</w:t>
            </w:r>
          </w:p>
        </w:tc>
        <w:tc>
          <w:tcPr>
            <w:tcW w:w="3120" w:type="dxa"/>
            <w:shd w:val="clear" w:color="auto" w:fill="F2F2F2"/>
            <w:tcMar>
              <w:top w:w="100" w:type="dxa"/>
              <w:left w:w="150" w:type="dxa"/>
              <w:bottom w:w="100" w:type="dxa"/>
              <w:right w:w="150" w:type="dxa"/>
            </w:tcMar>
          </w:tcPr>
          <w:p w14:paraId="54762E29" w14:textId="77777777" w:rsidR="00EE70E2" w:rsidRDefault="00000000">
            <w:r>
              <w:t>Mean distribution of active Transferred Flag indicators</w:t>
            </w:r>
          </w:p>
        </w:tc>
        <w:tc>
          <w:tcPr>
            <w:tcW w:w="3120" w:type="dxa"/>
            <w:shd w:val="clear" w:color="auto" w:fill="F2F2F2"/>
            <w:tcMar>
              <w:top w:w="100" w:type="dxa"/>
              <w:left w:w="150" w:type="dxa"/>
              <w:bottom w:w="100" w:type="dxa"/>
              <w:right w:w="150" w:type="dxa"/>
            </w:tcMar>
          </w:tcPr>
          <w:p w14:paraId="54D5C06C" w14:textId="77777777" w:rsidR="00EE70E2" w:rsidRDefault="00000000">
            <w:r>
              <w:t>18.00%</w:t>
            </w:r>
          </w:p>
        </w:tc>
      </w:tr>
      <w:tr w:rsidR="00EE70E2" w14:paraId="0A071C76" w14:textId="77777777">
        <w:trPr>
          <w:jc w:val="center"/>
        </w:trPr>
        <w:tc>
          <w:tcPr>
            <w:tcW w:w="3120" w:type="dxa"/>
            <w:shd w:val="clear" w:color="auto" w:fill="FFFFFF"/>
            <w:tcMar>
              <w:top w:w="100" w:type="dxa"/>
              <w:left w:w="150" w:type="dxa"/>
              <w:bottom w:w="100" w:type="dxa"/>
              <w:right w:w="150" w:type="dxa"/>
            </w:tcMar>
          </w:tcPr>
          <w:p w14:paraId="6F3AC76D" w14:textId="77777777" w:rsidR="00EE70E2" w:rsidRDefault="00000000">
            <w:r>
              <w:t>Department Efficiency Score</w:t>
            </w:r>
          </w:p>
        </w:tc>
        <w:tc>
          <w:tcPr>
            <w:tcW w:w="3120" w:type="dxa"/>
            <w:shd w:val="clear" w:color="auto" w:fill="FFFFFF"/>
            <w:tcMar>
              <w:top w:w="100" w:type="dxa"/>
              <w:left w:w="150" w:type="dxa"/>
              <w:bottom w:w="100" w:type="dxa"/>
              <w:right w:w="150" w:type="dxa"/>
            </w:tcMar>
          </w:tcPr>
          <w:p w14:paraId="3D0182E7" w14:textId="77777777" w:rsidR="00EE70E2" w:rsidRDefault="00000000">
            <w:r>
              <w:t>100 - (Average Department Length of Stay / 60 max baseline limit)</w:t>
            </w:r>
          </w:p>
        </w:tc>
        <w:tc>
          <w:tcPr>
            <w:tcW w:w="3120" w:type="dxa"/>
            <w:shd w:val="clear" w:color="auto" w:fill="FFFFFF"/>
            <w:tcMar>
              <w:top w:w="100" w:type="dxa"/>
              <w:left w:w="150" w:type="dxa"/>
              <w:bottom w:w="100" w:type="dxa"/>
              <w:right w:w="150" w:type="dxa"/>
            </w:tcMar>
          </w:tcPr>
          <w:p w14:paraId="7E07BDBE" w14:textId="77777777" w:rsidR="00EE70E2" w:rsidRDefault="00000000">
            <w:r>
              <w:t>99.66 / 100</w:t>
            </w:r>
          </w:p>
        </w:tc>
      </w:tr>
    </w:tbl>
    <w:p w14:paraId="4DDB86D9" w14:textId="77777777" w:rsidR="00EE70E2" w:rsidRDefault="00EE70E2"/>
    <w:p w14:paraId="79D12492" w14:textId="77777777" w:rsidR="00EE70E2" w:rsidRDefault="00000000">
      <w:pPr>
        <w:keepNext/>
        <w:spacing w:before="240"/>
      </w:pPr>
      <w:r>
        <w:rPr>
          <w:b/>
          <w:color w:val="003366"/>
          <w:sz w:val="36"/>
        </w:rPr>
        <w:t>6. Interactive Power BI Dashboard Blueprint</w:t>
      </w:r>
    </w:p>
    <w:p w14:paraId="6774EAE6" w14:textId="77777777" w:rsidR="00EE70E2" w:rsidRDefault="00000000">
      <w:r>
        <w:t>The advanced analytic dataset layer ('hospital_final_dataset.xlsx') is deployed directly into Power BI Desktop to construct a dynamic dashboard ecosystem. The visual layout contains three coordinated tracking views:</w:t>
      </w:r>
    </w:p>
    <w:p w14:paraId="0B646F1F" w14:textId="77777777" w:rsidR="00EE70E2" w:rsidRDefault="00000000">
      <w:pPr>
        <w:pStyle w:val="ListBullet"/>
      </w:pPr>
      <w:r>
        <w:t xml:space="preserve">Executive Overview View: Features a matrix of high-level KPI cards highlighting Total Admissions (10,000), Average Length of Stay (20.40 days), and the baseline Readmission </w:t>
      </w:r>
      <w:r>
        <w:lastRenderedPageBreak/>
        <w:t>Rate (50.00%). Includes cross-filtering slicers mapped by State and Hospital Type to allow for immediate operational drill-downs.</w:t>
      </w:r>
    </w:p>
    <w:p w14:paraId="2707AB84" w14:textId="77777777" w:rsidR="00EE70E2" w:rsidRDefault="00000000">
      <w:pPr>
        <w:pStyle w:val="ListBullet"/>
      </w:pPr>
      <w:r>
        <w:t>Financial &amp; Revenue Analysis View: Uses interactive histograms and bar charts to display financial distributions across all major regional healthcare providers. This page tracks total billing aggregates, billing frequency spreads, and revenue proportions divided by leading insurance groups.</w:t>
      </w:r>
    </w:p>
    <w:p w14:paraId="6C4BA3B8" w14:textId="77777777" w:rsidR="00EE70E2" w:rsidRDefault="00000000">
      <w:pPr>
        <w:pStyle w:val="ListBullet"/>
      </w:pPr>
      <w:r>
        <w:t>Clinical Insights &amp; Demographics View: Maps patient demographics and healthcare delivery trends. This view pairs pie charts tracking admission types with horizontal bar charts showing the top 10 most common clinical diagnoses across the regional medical network.</w:t>
      </w:r>
    </w:p>
    <w:p w14:paraId="2CD4AF99" w14:textId="77777777" w:rsidR="00EE70E2" w:rsidRDefault="00000000">
      <w:pPr>
        <w:keepNext/>
        <w:spacing w:before="240"/>
      </w:pPr>
      <w:r>
        <w:rPr>
          <w:b/>
          <w:color w:val="003366"/>
          <w:sz w:val="36"/>
        </w:rPr>
        <w:t>7. Analytical Insights &amp; Strategic Recommendations</w:t>
      </w:r>
    </w:p>
    <w:p w14:paraId="76614DD5" w14:textId="77777777" w:rsidR="00EE70E2" w:rsidRDefault="00000000">
      <w:r>
        <w:t>Analyzing the engineered hospital KPI outputs reveals critical operational trends that require strategic intervention:</w:t>
      </w:r>
    </w:p>
    <w:p w14:paraId="0DF3C8A3" w14:textId="77777777" w:rsidR="00EE70E2" w:rsidRDefault="00000000">
      <w:pPr>
        <w:pStyle w:val="ListBullet"/>
      </w:pPr>
      <w:r>
        <w:t>Extended Length of Stay &amp; Care Efficiency: The Average Length of Stay stands at 20.40 days, combined with a high Department Efficiency Score of 99.66. While individual departments process patient workflows quickly, the high average length of stay indicates a heavy volume of complex, chronic cases (such as Diabetes and Pneumonia) that tie up bed resources for longer periods.</w:t>
      </w:r>
    </w:p>
    <w:p w14:paraId="5C64CA30" w14:textId="77777777" w:rsidR="00EE70E2" w:rsidRDefault="00000000">
      <w:pPr>
        <w:pStyle w:val="ListBullet"/>
      </w:pPr>
      <w:r>
        <w:t>Elevated Readmission Risk: The system readmission metric is locked at 50.00%. This indicates that exactly half of all discharged patients require readmission within the monitoring cycle. This point reveals potential gaps in post-discharge planning, transitional care quality, or outpatient follow-up protocols.</w:t>
      </w:r>
    </w:p>
    <w:p w14:paraId="21AD7D63" w14:textId="77777777" w:rsidR="00EE70E2" w:rsidRDefault="00000000">
      <w:pPr>
        <w:pStyle w:val="ListBullet"/>
      </w:pPr>
      <w:r>
        <w:t>Resource and Fleet Underutilization: While staff and general bed metrics are steady, the Equipment Utilization Rate sits at a low 34.00%. This indicates that a large portion of specialized diagnostic hardware (such as MRI Scanners and Dialysis machines) remains idle or under-maintained, dragging down overall capital efficiency.</w:t>
      </w:r>
    </w:p>
    <w:p w14:paraId="17B012AA" w14:textId="77777777" w:rsidR="00EE70E2" w:rsidRDefault="00000000">
      <w:pPr>
        <w:keepNext/>
        <w:spacing w:before="240"/>
      </w:pPr>
      <w:r>
        <w:rPr>
          <w:b/>
          <w:color w:val="006699"/>
          <w:sz w:val="28"/>
        </w:rPr>
        <w:t>Targeted Actionable Recommendations:</w:t>
      </w:r>
    </w:p>
    <w:p w14:paraId="58C8B31C" w14:textId="77777777" w:rsidR="00EE70E2" w:rsidRDefault="00000000">
      <w:pPr>
        <w:pStyle w:val="ListBullet"/>
      </w:pPr>
      <w:r>
        <w:t>Deploy post-discharge monitoring programs and strict follow-up care scheduling for high-risk categories to drop readmissions below the 50.00% benchmark.</w:t>
      </w:r>
    </w:p>
    <w:p w14:paraId="268C3195" w14:textId="77777777" w:rsidR="00EE70E2" w:rsidRDefault="00000000">
      <w:pPr>
        <w:pStyle w:val="ListBullet"/>
      </w:pPr>
      <w:r>
        <w:t>Implement an automated, cross-department scheduling framework for specialized medical hardware to optimize asset utilization above the current 34.00% level.</w:t>
      </w:r>
    </w:p>
    <w:p w14:paraId="6B56F6FF" w14:textId="77777777" w:rsidR="00EE70E2" w:rsidRDefault="00000000">
      <w:pPr>
        <w:pStyle w:val="ListBullet"/>
      </w:pPr>
      <w:r>
        <w:t>Optimize transitional care and discharge pathways to safely reduce the 20.40-day average length of stay, freeing up baseline bed capacity across municipal networks.</w:t>
      </w:r>
    </w:p>
    <w:p w14:paraId="024E74A0" w14:textId="77777777" w:rsidR="00EE70E2" w:rsidRDefault="00000000">
      <w:pPr>
        <w:keepNext/>
        <w:spacing w:before="240"/>
      </w:pPr>
      <w:r>
        <w:rPr>
          <w:b/>
          <w:color w:val="003366"/>
          <w:sz w:val="36"/>
        </w:rPr>
        <w:t>8. Verification &amp; Project Checklist Compliance</w:t>
      </w:r>
    </w:p>
    <w:p w14:paraId="16DCC577" w14:textId="77777777" w:rsidR="00EE70E2" w:rsidRDefault="00000000">
      <w:r>
        <w:t>To ensure alignment with the rigorous data quality standards required by IBM SkillsBuild and AICTE mentorship protocols, the engineered data structure underwent final validation tests. The pipeline confirmed the following structural integrity markers:</w:t>
      </w:r>
    </w:p>
    <w:p w14:paraId="2E902792" w14:textId="77777777" w:rsidR="00EE70E2" w:rsidRDefault="00000000">
      <w:pPr>
        <w:pStyle w:val="ListBullet"/>
      </w:pPr>
      <w:r>
        <w:t>Zero Inconsistencies: Total duplicate rows within the final matrix equal exactly 0.</w:t>
      </w:r>
    </w:p>
    <w:p w14:paraId="6B4AE580" w14:textId="77777777" w:rsidR="00EE70E2" w:rsidRDefault="00000000">
      <w:pPr>
        <w:pStyle w:val="ListBullet"/>
      </w:pPr>
      <w:r>
        <w:t>Complete Integrity Layer: Total missing fields across all columns equal exactly 0.</w:t>
      </w:r>
    </w:p>
    <w:p w14:paraId="33535B0F" w14:textId="77777777" w:rsidR="00EE70E2" w:rsidRDefault="00000000">
      <w:pPr>
        <w:pStyle w:val="ListBullet"/>
      </w:pPr>
      <w:r>
        <w:lastRenderedPageBreak/>
        <w:t>No Duplicate Fields: Duplicate column name layers within the export engine equal exactly 0.</w:t>
      </w:r>
    </w:p>
    <w:p w14:paraId="1FD91628" w14:textId="77777777" w:rsidR="00EE70E2" w:rsidRDefault="00000000">
      <w:pPr>
        <w:pStyle w:val="ListBullet"/>
      </w:pPr>
      <w:r>
        <w:t>Standardized IDs: Successfully generated unique Patient IDs ('PAT00001' to 'PAT10000') and mapped uniform Hospital IDs ('HOS001' to 'HOS020') across all matching hospital name instances.</w:t>
      </w:r>
    </w:p>
    <w:p w14:paraId="6633CFD9" w14:textId="77777777" w:rsidR="00EE70E2" w:rsidRDefault="00000000">
      <w:pPr>
        <w:keepNext/>
        <w:spacing w:before="240"/>
      </w:pPr>
      <w:r>
        <w:rPr>
          <w:b/>
          <w:color w:val="003366"/>
          <w:sz w:val="36"/>
        </w:rPr>
        <w:t>9. Conclusion &amp; Next Steps</w:t>
      </w:r>
    </w:p>
    <w:p w14:paraId="6CB9B76F" w14:textId="77777777" w:rsidR="00EE70E2" w:rsidRDefault="00000000">
      <w:r>
        <w:t>The MedTrack Healthcare Intelligence system successfully showcases the power of combining automated Python-driven data engineering with interactive Power BI business analytics. By cleaning a raw database of 10,000 transaction records and engineering a robust set of hospital performance metrics, this project provides a clear blueprint for modernizing hospital data management.</w:t>
      </w:r>
    </w:p>
    <w:p w14:paraId="2BBF03FA" w14:textId="77777777" w:rsidR="00EE70E2" w:rsidRDefault="00000000">
      <w:r>
        <w:t>Moving forward, next-phase developments can integrate real-time predictive machine learning models directly into the pipeline. This extension will allow operators to forecast patient readmission risks at the point of discharge, predict upcoming billing surges, and proactively adjust resource allocation before capacity bottlenecks occur.</w:t>
      </w:r>
    </w:p>
    <w:p w14:paraId="5A0861F7" w14:textId="6211B1B0" w:rsidR="00EE70E2" w:rsidRDefault="00000000">
      <w:pPr>
        <w:spacing w:before="480"/>
      </w:pPr>
      <w:r>
        <w:rPr>
          <w:i/>
          <w:color w:val="777777"/>
          <w:sz w:val="17"/>
        </w:rPr>
        <w:t>.</w:t>
      </w:r>
    </w:p>
    <w:sectPr w:rsidR="00EE70E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299485">
    <w:abstractNumId w:val="8"/>
  </w:num>
  <w:num w:numId="2" w16cid:durableId="2135975522">
    <w:abstractNumId w:val="6"/>
  </w:num>
  <w:num w:numId="3" w16cid:durableId="1586915366">
    <w:abstractNumId w:val="5"/>
  </w:num>
  <w:num w:numId="4" w16cid:durableId="688529068">
    <w:abstractNumId w:val="4"/>
  </w:num>
  <w:num w:numId="5" w16cid:durableId="1342053446">
    <w:abstractNumId w:val="7"/>
  </w:num>
  <w:num w:numId="6" w16cid:durableId="1752004736">
    <w:abstractNumId w:val="3"/>
  </w:num>
  <w:num w:numId="7" w16cid:durableId="478620258">
    <w:abstractNumId w:val="2"/>
  </w:num>
  <w:num w:numId="8" w16cid:durableId="1460107356">
    <w:abstractNumId w:val="1"/>
  </w:num>
  <w:num w:numId="9" w16cid:durableId="955405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F58"/>
    <w:rsid w:val="0006063C"/>
    <w:rsid w:val="0015074B"/>
    <w:rsid w:val="00281F25"/>
    <w:rsid w:val="0029639D"/>
    <w:rsid w:val="002E7460"/>
    <w:rsid w:val="00326F90"/>
    <w:rsid w:val="003777D5"/>
    <w:rsid w:val="009A0283"/>
    <w:rsid w:val="00A55D65"/>
    <w:rsid w:val="00AA1D8D"/>
    <w:rsid w:val="00B47730"/>
    <w:rsid w:val="00CB0664"/>
    <w:rsid w:val="00EE70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26C03"/>
  <w14:defaultImageDpi w14:val="300"/>
  <w15:docId w15:val="{23785307-5430-40FF-899F-F3A177CAF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1676</Words>
  <Characters>9557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Chennuboyina Siva Sruthi</cp:lastModifiedBy>
  <cp:revision>6</cp:revision>
  <dcterms:created xsi:type="dcterms:W3CDTF">2013-12-23T23:15:00Z</dcterms:created>
  <dcterms:modified xsi:type="dcterms:W3CDTF">2026-09-24T11:41:00Z</dcterms:modified>
  <cp:category/>
</cp:coreProperties>
</file>