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i/>
          <w:color w:val="4B5563"/>
          <w:sz w:val="18"/>
        </w:rPr>
        <w:t>Malla Reddy University – Department of Cyber Security, School of Engineering</w:t>
      </w:r>
    </w:p>
    <w:p>
      <w:pPr>
        <w:spacing w:before="120" w:after="160"/>
        <w:jc w:val="center"/>
      </w:pPr>
      <w:r>
        <w:rPr>
          <w:rFonts w:ascii="Times New Roman" w:hAnsi="Times New Roman"/>
          <w:b/>
          <w:color w:val="0F172A"/>
          <w:sz w:val="36"/>
        </w:rPr>
        <w:t>TwinAgentAI: An Autonomous Multi-Agent Cyber Digital Twin Architecture for Real-Time Network Emulation, Attack-Path Traversal, and Quantitative Risk Hardening</w:t>
      </w:r>
    </w:p>
    <w:p>
      <w:pPr>
        <w:spacing w:after="40"/>
        <w:jc w:val="center"/>
      </w:pPr>
      <w:r>
        <w:rPr>
          <w:b/>
          <w:sz w:val="20"/>
        </w:rPr>
        <w:t>Bollineni Akshaya (2311CS040023), Khada Surya Kiran (2311CS040087), and Kolusu Sathya Sai (2311CS040088)</w:t>
        <w:br/>
      </w:r>
      <w:r>
        <w:rPr>
          <w:sz w:val="19"/>
        </w:rPr>
        <w:t>Department of Cyber Security, School of Engineering, Malla Reddy University, Hyderabad, Telangana, India</w:t>
        <w:br/>
      </w:r>
      <w:r>
        <w:rPr>
          <w:i/>
          <w:sz w:val="18"/>
        </w:rPr>
        <w:t>Corresponding author: B. Akshaya (e-mail: 2311cs040023@mallareddyuniversity.ac.in)</w:t>
      </w:r>
    </w:p>
    <w:p>
      <w:pPr>
        <w:spacing w:after="40"/>
      </w:pPr>
    </w:p>
    <w:tbl>
      <w:tblPr>
        <w:tblW w:type="auto" w:w="0"/>
        <w:jc w:val="center"/>
        <w:tblLook w:firstColumn="1" w:firstRow="1" w:lastColumn="0" w:lastRow="0" w:noHBand="0" w:noVBand="1" w:val="04A0"/>
      </w:tblPr>
      <w:tblGrid>
        <w:gridCol w:w="10080"/>
      </w:tblGrid>
      <w:tr>
        <w:tc>
          <w:tcPr>
            <w:tcW w:type="dxa" w:w="10080"/>
            <w:shd w:fill="F8FAFC"/>
            <w:tcMar>
              <w:top w:w="140" w:type="dxa"/>
              <w:bottom w:w="140" w:type="dxa"/>
              <w:left w:w="200" w:type="dxa"/>
              <w:right w:w="200" w:type="dxa"/>
            </w:tcMar>
          </w:tcPr>
          <w:p>
            <w:pPr>
              <w:spacing w:line="252" w:lineRule="auto"/>
              <w:jc w:val="both"/>
            </w:pPr>
            <w:r>
              <w:rPr>
                <w:b/>
                <w:i/>
                <w:sz w:val="18"/>
              </w:rPr>
              <w:t xml:space="preserve">Abstract— </w:t>
            </w:r>
            <w:r>
              <w:rPr>
                <w:sz w:val="18"/>
              </w:rPr>
              <w:t>Penetration testing and proactive vulnerability management serve as foundational defense mechanisms for uncovering and remediating cybersecurity weaknesses in enterprise digital infrastructure. However, traditional manual penetration testing and legacy scanning remain constrained by high operational costs, lengthy execution timelines, severe risks of production disruption, and an inability to model multi-stage lateral attack paths. This paper introduces TwinAgentAI, an autonomous, multi-agent Cyber Digital Twin (CDT) platform engineered to automate the end-to-end vulnerability assessment and defensive hardening lifecycle. TwinAgentAI establishes an air-gapped, high-fidelity virtual replica of physical network environments using a dual-persistence architecture: a relational database (PostgreSQL) for transactional entity state and a labeled property graph database (Neo4j) for topological dependency modeling. The platform coordinates a specialized pipeline of autonomous agents—Reconnaissance Agent, Threat Intelligence Agent, Autonomous Defense Agent, and Quantitative Risk Assessment Agent. Network discovery is executed via automated Nmap socket sweeps, while discovered services are correlated against known vulnerability taxonomies with standardized CVSS v3.1 scoring. Multi-hop lateral exploit chains are synthesized using graph-theoretic traversal algorithms across the Cyber Kill Chain mapped to the MITRE ATT&amp;CK framework. The platform introduces 1-Click Virtual Hardening, enabling security analysts to simulate socket hardening directly within the digital twin, severing adversary kill chains and dynamically recalculating multi-factor quantitative risk with zero physical downtime. Telemetry is projected into an interactive 3D WebGL Holographic Command Center built with React Three Fiber, resolving graph occlusion via continuous parallax rotation. Empirical evaluations on an enterprise testbed demonstrate that TwinAgentAI compresses assessment cycles from weeks to under 4 minutes (~2,500x speedup) and achieves a verified 58.9% post-hardening risk reduction (dropping composite risk from 78/100 to 32/100) safely before committing changes to production infrastructure.</w:t>
              <w:br/>
              <w:br/>
            </w:r>
            <w:r>
              <w:rPr>
                <w:b/>
                <w:i/>
                <w:sz w:val="18"/>
              </w:rPr>
              <w:t xml:space="preserve">Index Terms— </w:t>
            </w:r>
            <w:r>
              <w:rPr>
                <w:sz w:val="18"/>
              </w:rPr>
              <w:t>Cyber Digital Twin, autonomous penetration testing, multi-agent systems, attack-path prediction, graph traversal, Neo4j, MITRE ATT&amp;CK, quantitative risk assessment, CVSS scoring, CIS Controls v8, NIST SP 800-53, virtual hardening, 3D WebGL visualization.</w:t>
            </w:r>
          </w:p>
        </w:tc>
      </w:tr>
    </w:tbl>
    <w:p>
      <w:pPr>
        <w:spacing w:after="120"/>
      </w:pPr>
    </w:p>
    <w:p>
      <w:pPr>
        <w:spacing w:before="240" w:after="80"/>
        <w:jc w:val="center"/>
      </w:pPr>
      <w:r>
        <w:rPr>
          <w:rFonts w:ascii="Times New Roman" w:hAnsi="Times New Roman"/>
          <w:b/>
          <w:color w:val="0F172A"/>
          <w:sz w:val="22"/>
        </w:rPr>
        <w:t>I. INTRODUCTION</w:t>
      </w:r>
    </w:p>
    <w:p>
      <w:r>
        <w:rPr>
          <w:rFonts w:ascii="Times New Roman" w:hAnsi="Times New Roman"/>
          <w:sz w:val="20"/>
        </w:rPr>
        <w:t>The exponential acceleration of enterprise digital transformation—driven by the rapid adoption of multi-cloud architectures, containerized microservices, and extensive API integrations—has broadened corporate attack surfaces to an unprecedented scale [1]. As network boundaries become increasingly fluid and decentralized, the frequency, velocity, and sophistication of cyber threats continue to escalate. In this hostile operational theater, proactive vulnerability assessment and penetration testing (VAPT) represent indispensable measures for identifying exploitable weaknesses before malicious adversaries discover and weaponize them.</w:t>
      </w:r>
    </w:p>
    <w:p>
      <w:pPr>
        <w:spacing w:before="160" w:after="60"/>
      </w:pPr>
      <w:r>
        <w:rPr>
          <w:rFonts w:ascii="Times New Roman" w:hAnsi="Times New Roman"/>
          <w:b/>
          <w:i/>
          <w:color w:val="1E293B"/>
          <w:sz w:val="20"/>
        </w:rPr>
        <w:t>A. Enterprise Threat Landscape &amp; Evolving Attack Surfaces</w:t>
      </w:r>
    </w:p>
    <w:p>
      <w:r>
        <w:rPr>
          <w:rFonts w:ascii="Times New Roman" w:hAnsi="Times New Roman"/>
          <w:sz w:val="20"/>
        </w:rPr>
        <w:t>Modern enterprise networks no longer operate within well-defined, static perimeter boundaries. Hybrid working models, third-party software dependencies, continuous deployment (CI/CD) pipelines, and IoT hardware introduce transient vulnerabilities that threat actors can exploit rapidly. The temporal window between public vulnerability disclosure (CVE) and active in-the-wild exploitation has collapsed from months to hours [2]. Consequently, organizations must maintain continuous, real-time visibility over exposed listening daemons, unencrypted protocols, and configuration drift across their entire fleet.</w:t>
      </w:r>
    </w:p>
    <w:p>
      <w:pPr>
        <w:spacing w:before="160" w:after="60"/>
      </w:pPr>
      <w:r>
        <w:rPr>
          <w:rFonts w:ascii="Times New Roman" w:hAnsi="Times New Roman"/>
          <w:b/>
          <w:i/>
          <w:color w:val="1E293B"/>
          <w:sz w:val="20"/>
        </w:rPr>
        <w:t>B. Limitations of Manual Penetration Testing &amp; Legacy Scanners</w:t>
      </w:r>
    </w:p>
    <w:p>
      <w:r>
        <w:rPr>
          <w:rFonts w:ascii="Times New Roman" w:hAnsi="Times New Roman"/>
          <w:sz w:val="20"/>
        </w:rPr>
        <w:t>Despite its critical importance, conventional penetration testing remains largely manual, reactive, and resource-constrained:</w:t>
      </w:r>
    </w:p>
    <w:p>
      <w:pPr>
        <w:pStyle w:val="ListBullet"/>
        <w:spacing w:after="60" w:line="252" w:lineRule="auto"/>
      </w:pPr>
      <w:r>
        <w:rPr>
          <w:b/>
          <w:sz w:val="20"/>
        </w:rPr>
        <w:t xml:space="preserve">1) Substantial Cost and Human Resource Bottlenecks: </w:t>
      </w:r>
      <w:r>
        <w:rPr>
          <w:sz w:val="20"/>
        </w:rPr>
        <w:t>End-to-end security audits demand specialized certified ethical hackers to conduct port sweeps, inspect banner signatures, manually correlate CVE databases, formulate plausible attack trees, and author executive reports—a process typically spanning several weeks per engagement [3].</w:t>
      </w:r>
    </w:p>
    <w:p>
      <w:pPr>
        <w:pStyle w:val="ListBullet"/>
        <w:spacing w:after="60" w:line="252" w:lineRule="auto"/>
      </w:pPr>
      <w:r>
        <w:rPr>
          <w:b/>
          <w:sz w:val="20"/>
        </w:rPr>
        <w:t xml:space="preserve">2) Operational Blast Radius and Disruption Risks: </w:t>
      </w:r>
      <w:r>
        <w:rPr>
          <w:sz w:val="20"/>
        </w:rPr>
        <w:t>Executing active penetration tests, socket fuzzing, or exploit payloads directly against live production systems introduces unacceptable operational hazards, frequently inducing denial-of-service (DoS) conditions, thread exhaustion, or database corruption [4].</w:t>
      </w:r>
    </w:p>
    <w:p>
      <w:pPr>
        <w:pStyle w:val="ListBullet"/>
        <w:spacing w:after="60" w:line="252" w:lineRule="auto"/>
      </w:pPr>
      <w:r>
        <w:rPr>
          <w:b/>
          <w:sz w:val="20"/>
        </w:rPr>
        <w:t xml:space="preserve">3) Fragmented, Point-in-Time Vulnerability Analysis: </w:t>
      </w:r>
      <w:r>
        <w:rPr>
          <w:sz w:val="20"/>
        </w:rPr>
        <w:t>Traditional scanners (e.g., Nessus, OpenVAS) evaluate hosts in isolation, producing massive tabular reports of disconnected CVEs. They fail to reason about exploit chaining—the multi-hop lateral movement process whereby an adversary chains a low-severity initial perimeter flaw through internal relays to compromise core crown jewel databases [5].</w:t>
      </w:r>
    </w:p>
    <w:p>
      <w:pPr>
        <w:pStyle w:val="ListBullet"/>
        <w:spacing w:after="60" w:line="252" w:lineRule="auto"/>
      </w:pPr>
      <w:r>
        <w:rPr>
          <w:b/>
          <w:sz w:val="20"/>
        </w:rPr>
        <w:t xml:space="preserve">4) Static and Unactionable Guidance: </w:t>
      </w:r>
      <w:r>
        <w:rPr>
          <w:sz w:val="20"/>
        </w:rPr>
        <w:t>Audit outputs are static PDF documents published weeks after scan completion, lacking interactive risk exploration, live network telemetry, or validated remediation commands.</w:t>
      </w:r>
    </w:p>
    <w:p>
      <w:pPr>
        <w:spacing w:before="160" w:after="60"/>
      </w:pPr>
      <w:r>
        <w:rPr>
          <w:rFonts w:ascii="Times New Roman" w:hAnsi="Times New Roman"/>
          <w:b/>
          <w:i/>
          <w:color w:val="1E293B"/>
          <w:sz w:val="20"/>
        </w:rPr>
        <w:t>C. Cyber Digital Twins &amp; Agentic Security Orchestration</w:t>
      </w:r>
    </w:p>
    <w:p>
      <w:r>
        <w:rPr>
          <w:rFonts w:ascii="Times New Roman" w:hAnsi="Times New Roman"/>
          <w:sz w:val="20"/>
        </w:rPr>
        <w:t>To fundamentally overcome these systemic limitations, this paper introduces the paradigm of the Cyber Digital Twin (CDT) coupled with Autonomous Multi-Agent Systems (MAS). Originating in aerospace and industrial engineering [6], a digital twin is a dynamic, high-fidelity computational replica of a physical entity that continuously reflects its operational state. In TwinAgentAI, the digital twin mirrors an enterprise's physical network topology, active IP hosts, listening transport sockets, protocol banners, and inter-device reachability. By executing all reconnaissance analysis, adversary kill-chain modeling, and defensive hardening inside the virtual twin, security teams achieve an air-gapped blast radius boundary: aggressive attack simulations and hypothetical configuration changes execute with zero operational risk to physical hardware. By decoupling complex cybersecurity tasks across specialized, cooperating AI software agents, the entire audit lifecycle is fully automated with mathematical rigor.</w:t>
      </w:r>
    </w:p>
    <w:p>
      <w:pPr>
        <w:spacing w:before="160" w:after="60"/>
      </w:pPr>
      <w:r>
        <w:rPr>
          <w:rFonts w:ascii="Times New Roman" w:hAnsi="Times New Roman"/>
          <w:b/>
          <w:i/>
          <w:color w:val="1E293B"/>
          <w:sz w:val="20"/>
        </w:rPr>
        <w:t>D. Key Scientific &amp; Engineering Contributions</w:t>
      </w:r>
    </w:p>
    <w:p>
      <w:r>
        <w:rPr>
          <w:rFonts w:ascii="Times New Roman" w:hAnsi="Times New Roman"/>
          <w:sz w:val="20"/>
        </w:rPr>
        <w:t>TwinAgentAI makes the following primary contributions:</w:t>
      </w:r>
    </w:p>
    <w:p>
      <w:pPr>
        <w:pStyle w:val="ListBullet"/>
        <w:spacing w:after="60" w:line="252" w:lineRule="auto"/>
      </w:pPr>
      <w:r>
        <w:rPr>
          <w:b/>
          <w:sz w:val="20"/>
        </w:rPr>
        <w:t xml:space="preserve">• End-to-End Multi-Agent Security Architecture: </w:t>
      </w:r>
      <w:r>
        <w:rPr>
          <w:sz w:val="20"/>
        </w:rPr>
        <w:t>Design and implementation of a coordinated 4-agent pipeline (Recon, Threat, Defense, Risk) orchestrated via FastAPI, covering the complete lifecycle from automated network scanning to hardened posture verification.</w:t>
      </w:r>
    </w:p>
    <w:p>
      <w:pPr>
        <w:pStyle w:val="ListBullet"/>
        <w:spacing w:after="60" w:line="252" w:lineRule="auto"/>
      </w:pPr>
      <w:r>
        <w:rPr>
          <w:b/>
          <w:sz w:val="20"/>
        </w:rPr>
        <w:t xml:space="preserve">• Dual-Persistence Property Graph Modeling: </w:t>
      </w:r>
      <w:r>
        <w:rPr>
          <w:sz w:val="20"/>
        </w:rPr>
        <w:t>Integration of a PostgreSQL relational database for structured state telemetry with a Neo4j labeled property graph database for index-free topological path traversal.</w:t>
      </w:r>
    </w:p>
    <w:p>
      <w:pPr>
        <w:pStyle w:val="ListBullet"/>
        <w:spacing w:after="60" w:line="252" w:lineRule="auto"/>
      </w:pPr>
      <w:r>
        <w:rPr>
          <w:b/>
          <w:sz w:val="20"/>
        </w:rPr>
        <w:t xml:space="preserve">• Graph-Theoretic Attack Path Traversal: </w:t>
      </w:r>
      <w:r>
        <w:rPr>
          <w:sz w:val="20"/>
        </w:rPr>
        <w:t>Formulation of a graph reasoning engine using NetworkX and Neo4j Cypher queries to compute shortest lateral movement paths mapped to the MITRE ATT&amp;CK Enterprise Matrix.</w:t>
      </w:r>
    </w:p>
    <w:p>
      <w:pPr>
        <w:pStyle w:val="ListBullet"/>
        <w:spacing w:after="60" w:line="252" w:lineRule="auto"/>
      </w:pPr>
      <w:r>
        <w:rPr>
          <w:b/>
          <w:sz w:val="20"/>
        </w:rPr>
        <w:t xml:space="preserve">• Interactive 1-Click Virtual Hardening: </w:t>
      </w:r>
      <w:r>
        <w:rPr>
          <w:sz w:val="20"/>
        </w:rPr>
        <w:t>Engineering of a safe virtual remediation mechanism where defensive policies (aligned with CIS Controls v8 and NIST SP 800-53) mutate simulated socket states within the twin, severing attack trajectories and recalculating risk in real time.</w:t>
      </w:r>
    </w:p>
    <w:p>
      <w:pPr>
        <w:pStyle w:val="ListBullet"/>
        <w:spacing w:after="60" w:line="252" w:lineRule="auto"/>
      </w:pPr>
      <w:r>
        <w:rPr>
          <w:b/>
          <w:sz w:val="20"/>
        </w:rPr>
        <w:t xml:space="preserve">• Context-Aware Composite Risk Formulation: </w:t>
      </w:r>
      <w:r>
        <w:rPr>
          <w:sz w:val="20"/>
        </w:rPr>
        <w:t>Derivation of a multi-factor mathematical risk model incorporating CVSS base severities, protocol context bonuses, attack surface exposure, and crown jewel asset criticality weights.</w:t>
      </w:r>
    </w:p>
    <w:p>
      <w:pPr>
        <w:pStyle w:val="ListBullet"/>
        <w:spacing w:after="60" w:line="252" w:lineRule="auto"/>
      </w:pPr>
      <w:r>
        <w:rPr>
          <w:b/>
          <w:sz w:val="20"/>
        </w:rPr>
        <w:t xml:space="preserve">• Continuous 3D WebGL Holographic Command Center: </w:t>
      </w:r>
      <w:r>
        <w:rPr>
          <w:sz w:val="20"/>
        </w:rPr>
        <w:t>Implementation of a spatial visual analytics canvas utilizing Three.js and React Three Fiber that eliminates 2D graph occlusion through continuous parallax rotation.</w:t>
      </w:r>
    </w:p>
    <w:p>
      <w:pPr>
        <w:spacing w:before="160" w:after="60"/>
      </w:pPr>
      <w:r>
        <w:rPr>
          <w:rFonts w:ascii="Times New Roman" w:hAnsi="Times New Roman"/>
          <w:b/>
          <w:i/>
          <w:color w:val="1E293B"/>
          <w:sz w:val="20"/>
        </w:rPr>
        <w:t>E. Paper Organization</w:t>
      </w:r>
    </w:p>
    <w:p>
      <w:r>
        <w:rPr>
          <w:rFonts w:ascii="Times New Roman" w:hAnsi="Times New Roman"/>
          <w:sz w:val="20"/>
        </w:rPr>
        <w:t>The remainder of this paper is organized as follows: Section II surveys related literature and provides a comparative taxonomy. Section III details the problem statement, system limitations, and core design objectives. Section IV presents the system architecture, domain roles, and comprehensive UML models. Section V formalizes the mathematical models, graph definitions, and agent algorithms. Section VI outlines implementation technologies and stack specifications. Section VII presents a comprehensive platform walkthrough on an enterprise testbed. Section VIII evaluates experimental results, performance speedup, and analytical accuracy. Finally, Section IX concludes the paper and discusses future research trajectories.</w:t>
      </w:r>
    </w:p>
    <w:p>
      <w:pPr>
        <w:spacing w:before="240" w:after="80"/>
        <w:jc w:val="center"/>
      </w:pPr>
      <w:r>
        <w:rPr>
          <w:rFonts w:ascii="Times New Roman" w:hAnsi="Times New Roman"/>
          <w:b/>
          <w:color w:val="0F172A"/>
          <w:sz w:val="22"/>
        </w:rPr>
        <w:t>II. RELATED WORK &amp; LITERATURE SURVEY</w:t>
      </w:r>
    </w:p>
    <w:p>
      <w:r>
        <w:rPr>
          <w:rFonts w:ascii="Times New Roman" w:hAnsi="Times New Roman"/>
          <w:sz w:val="20"/>
        </w:rPr>
        <w:t>Security automation research has progressed across three foundational domains: automated vulnerability scanners, graph-based attack modeling, and multi-agent cybersecurity frameworks.</w:t>
      </w:r>
    </w:p>
    <w:p>
      <w:pPr>
        <w:spacing w:before="160" w:after="60"/>
      </w:pPr>
      <w:r>
        <w:rPr>
          <w:rFonts w:ascii="Times New Roman" w:hAnsi="Times New Roman"/>
          <w:b/>
          <w:i/>
          <w:color w:val="1E293B"/>
          <w:sz w:val="20"/>
        </w:rPr>
        <w:t>A. Automated Vulnerability Scanning Engines</w:t>
      </w:r>
    </w:p>
    <w:p>
      <w:r>
        <w:rPr>
          <w:rFonts w:ascii="Times New Roman" w:hAnsi="Times New Roman"/>
          <w:sz w:val="20"/>
        </w:rPr>
        <w:t>Commercial and open-source scanners such as Nessus, OpenVAS, and Nmap form the traditional baseline of vulnerability enumeration [7]. These tools reliably fingerprint active hosts, exposed ports, and service banners. However, traditional scanners function primarily as rule-based pattern matchers. They identify isolated vulnerabilities but lack contextual reasoning to determine how multiple low- or medium-severity flaws can be chained together by an adversary to achieve full system compromise.</w:t>
      </w:r>
    </w:p>
    <w:p>
      <w:pPr>
        <w:spacing w:before="160" w:after="60"/>
      </w:pPr>
      <w:r>
        <w:rPr>
          <w:rFonts w:ascii="Times New Roman" w:hAnsi="Times New Roman"/>
          <w:b/>
          <w:i/>
          <w:color w:val="1E293B"/>
          <w:sz w:val="20"/>
        </w:rPr>
        <w:t>B. Cyber Digital Twins &amp; Graph-Based Security</w:t>
      </w:r>
    </w:p>
    <w:p>
      <w:r>
        <w:rPr>
          <w:rFonts w:ascii="Times New Roman" w:hAnsi="Times New Roman"/>
          <w:sz w:val="20"/>
        </w:rPr>
        <w:t>Digital twin concepts in cybersecurity were pioneered by Gehrmann and Gunnarsson [8] for industrial automation and control systems (IACS). Damodaran et al. [9] developed virtual network models for testing operational technology resilience. In parallel, attack graph modeling tools such as MulVAL [10] and Topological Vulnerability Analysis (TVA) [11] demonstrated that network vulnerabilities could be analyzed as directed dependency graphs. However, classical attack graph generators suffer from polynomial state explosion when scaled to thousands of hosts and lack real-time synchronization with physical network telemetry. Property graph databases like Neo4j resolve this constraint through index-free adjacency, enabling sub-second graph traversals [12].</w:t>
      </w:r>
    </w:p>
    <w:p>
      <w:pPr>
        <w:spacing w:before="160" w:after="60"/>
      </w:pPr>
      <w:r>
        <w:rPr>
          <w:rFonts w:ascii="Times New Roman" w:hAnsi="Times New Roman"/>
          <w:b/>
          <w:i/>
          <w:color w:val="1E293B"/>
          <w:sz w:val="20"/>
        </w:rPr>
        <w:t>C. Multi-Agent Security Frameworks</w:t>
      </w:r>
    </w:p>
    <w:p>
      <w:r>
        <w:rPr>
          <w:rFonts w:ascii="Times New Roman" w:hAnsi="Times New Roman"/>
          <w:sz w:val="20"/>
        </w:rPr>
        <w:t>Recent literature underscores the effectiveness of Multi-Agent Systems (MAS) in security automation. MITRE's CALDERA platform [13] uses intelligent software agents for automated post-compromise adversary emulation mapped to the MITRE ATT&amp;CK framework [14]. Similarly, DARPA's Cyber Grand Challenge (CGC) [15] demonstrated automated cyber reasoning systems (CRS). Nevertheless, frameworks like CALDERA require agent software to be installed directly on target endpoints and execute live offensive commands on production hosts, maintaining operational risks. TwinAgentAI resolves this dilemma by confining agent operations to the high-fidelity digital twin graph space.</w:t>
      </w:r>
    </w:p>
    <w:p>
      <w:pPr>
        <w:jc w:val="center"/>
      </w:pPr>
      <w:r>
        <w:rPr>
          <w:b/>
          <w:sz w:val="19"/>
        </w:rPr>
        <w:t>TABLE I</w:t>
        <w:br/>
        <w:t>COMPARATIVE ANALYSIS OF TWINAGENTAI AGAINST EXISTING SECURITY SOLUTIONS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60" w:type="dxa"/>
              <w:bottom w:w="60" w:type="dxa"/>
              <w:left w:w="70" w:type="dxa"/>
              <w:right w:w="70" w:type="dxa"/>
            </w:tcMar>
            <w:shd w:fill="0F172A"/>
          </w:tcPr>
          <w:p>
            <w:pPr>
              <w:spacing w:line="240" w:lineRule="auto"/>
            </w:pPr>
            <w:r>
              <w:rPr>
                <w:rFonts w:ascii="Times New Roman" w:hAnsi="Times New Roman"/>
                <w:b/>
                <w:color w:val="FFFFFF"/>
                <w:sz w:val="17"/>
              </w:rPr>
              <w:t>Feature Dimension</w:t>
            </w:r>
          </w:p>
        </w:tc>
        <w:tc>
          <w:tcPr>
            <w:tcW w:type="dxa" w:w="2016"/>
            <w:tcMar>
              <w:top w:w="60" w:type="dxa"/>
              <w:bottom w:w="60" w:type="dxa"/>
              <w:left w:w="70" w:type="dxa"/>
              <w:right w:w="70" w:type="dxa"/>
            </w:tcMar>
            <w:shd w:fill="0F172A"/>
          </w:tcPr>
          <w:p>
            <w:pPr>
              <w:spacing w:line="240" w:lineRule="auto"/>
            </w:pPr>
            <w:r>
              <w:rPr>
                <w:rFonts w:ascii="Times New Roman" w:hAnsi="Times New Roman"/>
                <w:b/>
                <w:color w:val="FFFFFF"/>
                <w:sz w:val="17"/>
              </w:rPr>
              <w:t>Nmap / OpenVAS Scanners</w:t>
            </w:r>
          </w:p>
        </w:tc>
        <w:tc>
          <w:tcPr>
            <w:tcW w:type="dxa" w:w="2016"/>
            <w:tcMar>
              <w:top w:w="60" w:type="dxa"/>
              <w:bottom w:w="60" w:type="dxa"/>
              <w:left w:w="70" w:type="dxa"/>
              <w:right w:w="70" w:type="dxa"/>
            </w:tcMar>
            <w:shd w:fill="0F172A"/>
          </w:tcPr>
          <w:p>
            <w:pPr>
              <w:spacing w:line="240" w:lineRule="auto"/>
            </w:pPr>
            <w:r>
              <w:rPr>
                <w:rFonts w:ascii="Times New Roman" w:hAnsi="Times New Roman"/>
                <w:b/>
                <w:color w:val="FFFFFF"/>
                <w:sz w:val="17"/>
              </w:rPr>
              <w:t>Breach &amp; Attack Sim. (CALDERA)</w:t>
            </w:r>
          </w:p>
        </w:tc>
        <w:tc>
          <w:tcPr>
            <w:tcW w:type="dxa" w:w="2016"/>
            <w:tcMar>
              <w:top w:w="60" w:type="dxa"/>
              <w:bottom w:w="60" w:type="dxa"/>
              <w:left w:w="70" w:type="dxa"/>
              <w:right w:w="70" w:type="dxa"/>
            </w:tcMar>
            <w:shd w:fill="0F172A"/>
          </w:tcPr>
          <w:p>
            <w:pPr>
              <w:spacing w:line="240" w:lineRule="auto"/>
            </w:pPr>
            <w:r>
              <w:rPr>
                <w:rFonts w:ascii="Times New Roman" w:hAnsi="Times New Roman"/>
                <w:b/>
                <w:color w:val="FFFFFF"/>
                <w:sz w:val="17"/>
              </w:rPr>
              <w:t>Attack Graph Solvers (MulVAL)</w:t>
            </w:r>
          </w:p>
        </w:tc>
        <w:tc>
          <w:tcPr>
            <w:tcW w:type="dxa" w:w="2016"/>
            <w:tcMar>
              <w:top w:w="60" w:type="dxa"/>
              <w:bottom w:w="60" w:type="dxa"/>
              <w:left w:w="70" w:type="dxa"/>
              <w:right w:w="70" w:type="dxa"/>
            </w:tcMar>
            <w:shd w:fill="0F172A"/>
          </w:tcPr>
          <w:p>
            <w:pPr>
              <w:spacing w:line="240" w:lineRule="auto"/>
            </w:pPr>
            <w:r>
              <w:rPr>
                <w:rFonts w:ascii="Times New Roman" w:hAnsi="Times New Roman"/>
                <w:b/>
                <w:color w:val="FFFFFF"/>
                <w:sz w:val="17"/>
              </w:rPr>
              <w:t>TwinAgentAI (Proposed Digital Twin)</w:t>
            </w:r>
          </w:p>
        </w:tc>
      </w:tr>
      <w:tr>
        <w:tc>
          <w:tcPr>
            <w:tcW w:type="dxa" w:w="2016"/>
            <w:tcMar>
              <w:top w:w="60" w:type="dxa"/>
              <w:bottom w:w="60" w:type="dxa"/>
              <w:left w:w="70" w:type="dxa"/>
              <w:right w:w="70" w:type="dxa"/>
            </w:tcMar>
            <w:shd w:fill="F8FAFC"/>
          </w:tcPr>
          <w:p>
            <w:pPr>
              <w:spacing w:line="240" w:lineRule="auto"/>
            </w:pPr>
            <w:r>
              <w:rPr>
                <w:rFonts w:ascii="Times New Roman" w:hAnsi="Times New Roman"/>
                <w:sz w:val="17"/>
              </w:rPr>
              <w:t>Execution Environment</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Live Production Host</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Live Production Host</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Offline Static Model</w:t>
            </w:r>
          </w:p>
        </w:tc>
        <w:tc>
          <w:tcPr>
            <w:tcW w:type="dxa" w:w="2016"/>
            <w:tcMar>
              <w:top w:w="60" w:type="dxa"/>
              <w:bottom w:w="60" w:type="dxa"/>
              <w:left w:w="70" w:type="dxa"/>
              <w:right w:w="70" w:type="dxa"/>
            </w:tcMar>
            <w:shd w:fill="F0FDF4"/>
          </w:tcPr>
          <w:p>
            <w:pPr>
              <w:spacing w:line="240" w:lineRule="auto"/>
            </w:pPr>
            <w:r>
              <w:rPr>
                <w:rFonts w:ascii="Times New Roman" w:hAnsi="Times New Roman"/>
                <w:b/>
                <w:color w:val="166534"/>
                <w:sz w:val="17"/>
              </w:rPr>
              <w:t>Air-Gapped Virtual Digital Twin</w:t>
            </w:r>
          </w:p>
        </w:tc>
      </w:tr>
      <w:tr>
        <w:tc>
          <w:tcPr>
            <w:tcW w:type="dxa" w:w="2016"/>
            <w:tcMar>
              <w:top w:w="60" w:type="dxa"/>
              <w:bottom w:w="60" w:type="dxa"/>
              <w:left w:w="70" w:type="dxa"/>
              <w:right w:w="70" w:type="dxa"/>
            </w:tcMar>
          </w:tcPr>
          <w:p>
            <w:pPr>
              <w:spacing w:line="240" w:lineRule="auto"/>
            </w:pPr>
            <w:r>
              <w:rPr>
                <w:rFonts w:ascii="Times New Roman" w:hAnsi="Times New Roman"/>
                <w:sz w:val="17"/>
              </w:rPr>
              <w:t>Operational Blast Radius</w:t>
            </w:r>
          </w:p>
        </w:tc>
        <w:tc>
          <w:tcPr>
            <w:tcW w:type="dxa" w:w="2016"/>
            <w:tcMar>
              <w:top w:w="60" w:type="dxa"/>
              <w:bottom w:w="60" w:type="dxa"/>
              <w:left w:w="70" w:type="dxa"/>
              <w:right w:w="70" w:type="dxa"/>
            </w:tcMar>
          </w:tcPr>
          <w:p>
            <w:pPr>
              <w:spacing w:line="240" w:lineRule="auto"/>
            </w:pPr>
            <w:r>
              <w:rPr>
                <w:rFonts w:ascii="Times New Roman" w:hAnsi="Times New Roman"/>
                <w:sz w:val="17"/>
              </w:rPr>
              <w:t>High (Risk of Service DoS)</w:t>
            </w:r>
          </w:p>
        </w:tc>
        <w:tc>
          <w:tcPr>
            <w:tcW w:type="dxa" w:w="2016"/>
            <w:tcMar>
              <w:top w:w="60" w:type="dxa"/>
              <w:bottom w:w="60" w:type="dxa"/>
              <w:left w:w="70" w:type="dxa"/>
              <w:right w:w="70" w:type="dxa"/>
            </w:tcMar>
          </w:tcPr>
          <w:p>
            <w:pPr>
              <w:spacing w:line="240" w:lineRule="auto"/>
            </w:pPr>
            <w:r>
              <w:rPr>
                <w:rFonts w:ascii="Times New Roman" w:hAnsi="Times New Roman"/>
                <w:sz w:val="17"/>
              </w:rPr>
              <w:t>Very High (Active Scripts)</w:t>
            </w:r>
          </w:p>
        </w:tc>
        <w:tc>
          <w:tcPr>
            <w:tcW w:type="dxa" w:w="2016"/>
            <w:tcMar>
              <w:top w:w="60" w:type="dxa"/>
              <w:bottom w:w="60" w:type="dxa"/>
              <w:left w:w="70" w:type="dxa"/>
              <w:right w:w="70" w:type="dxa"/>
            </w:tcMar>
          </w:tcPr>
          <w:p>
            <w:pPr>
              <w:spacing w:line="240" w:lineRule="auto"/>
            </w:pPr>
            <w:r>
              <w:rPr>
                <w:rFonts w:ascii="Times New Roman" w:hAnsi="Times New Roman"/>
                <w:sz w:val="17"/>
              </w:rPr>
              <w:t>Zero (Abstract Rules)</w:t>
            </w:r>
          </w:p>
        </w:tc>
        <w:tc>
          <w:tcPr>
            <w:tcW w:type="dxa" w:w="2016"/>
            <w:tcMar>
              <w:top w:w="60" w:type="dxa"/>
              <w:bottom w:w="60" w:type="dxa"/>
              <w:left w:w="70" w:type="dxa"/>
              <w:right w:w="70" w:type="dxa"/>
            </w:tcMar>
            <w:shd w:fill="F0FDF4"/>
          </w:tcPr>
          <w:p>
            <w:pPr>
              <w:spacing w:line="240" w:lineRule="auto"/>
            </w:pPr>
            <w:r>
              <w:rPr>
                <w:rFonts w:ascii="Times New Roman" w:hAnsi="Times New Roman"/>
                <w:b/>
                <w:color w:val="166534"/>
                <w:sz w:val="17"/>
              </w:rPr>
              <w:t>Zero (Simulated Twin State)</w:t>
            </w:r>
          </w:p>
        </w:tc>
      </w:tr>
      <w:tr>
        <w:tc>
          <w:tcPr>
            <w:tcW w:type="dxa" w:w="2016"/>
            <w:tcMar>
              <w:top w:w="60" w:type="dxa"/>
              <w:bottom w:w="60" w:type="dxa"/>
              <w:left w:w="70" w:type="dxa"/>
              <w:right w:w="70" w:type="dxa"/>
            </w:tcMar>
            <w:shd w:fill="F8FAFC"/>
          </w:tcPr>
          <w:p>
            <w:pPr>
              <w:spacing w:line="240" w:lineRule="auto"/>
            </w:pPr>
            <w:r>
              <w:rPr>
                <w:rFonts w:ascii="Times New Roman" w:hAnsi="Times New Roman"/>
                <w:sz w:val="17"/>
              </w:rPr>
              <w:t>Multi-Hop Exploit Chaining</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No (Isolated CVEs)</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Yes (Physical Execution)</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Yes (Datalog Logic)</w:t>
            </w:r>
          </w:p>
        </w:tc>
        <w:tc>
          <w:tcPr>
            <w:tcW w:type="dxa" w:w="2016"/>
            <w:tcMar>
              <w:top w:w="60" w:type="dxa"/>
              <w:bottom w:w="60" w:type="dxa"/>
              <w:left w:w="70" w:type="dxa"/>
              <w:right w:w="70" w:type="dxa"/>
            </w:tcMar>
            <w:shd w:fill="F0FDF4"/>
          </w:tcPr>
          <w:p>
            <w:pPr>
              <w:spacing w:line="240" w:lineRule="auto"/>
            </w:pPr>
            <w:r>
              <w:rPr>
                <w:rFonts w:ascii="Times New Roman" w:hAnsi="Times New Roman"/>
                <w:b/>
                <w:color w:val="166534"/>
                <w:sz w:val="17"/>
              </w:rPr>
              <w:t>Yes (Graph Traversal &amp; MITRE)</w:t>
            </w:r>
          </w:p>
        </w:tc>
      </w:tr>
      <w:tr>
        <w:tc>
          <w:tcPr>
            <w:tcW w:type="dxa" w:w="2016"/>
            <w:tcMar>
              <w:top w:w="60" w:type="dxa"/>
              <w:bottom w:w="60" w:type="dxa"/>
              <w:left w:w="70" w:type="dxa"/>
              <w:right w:w="70" w:type="dxa"/>
            </w:tcMar>
          </w:tcPr>
          <w:p>
            <w:pPr>
              <w:spacing w:line="240" w:lineRule="auto"/>
            </w:pPr>
            <w:r>
              <w:rPr>
                <w:rFonts w:ascii="Times New Roman" w:hAnsi="Times New Roman"/>
                <w:sz w:val="17"/>
              </w:rPr>
              <w:t>Real-Time Network Sync</w:t>
            </w:r>
          </w:p>
        </w:tc>
        <w:tc>
          <w:tcPr>
            <w:tcW w:type="dxa" w:w="2016"/>
            <w:tcMar>
              <w:top w:w="60" w:type="dxa"/>
              <w:bottom w:w="60" w:type="dxa"/>
              <w:left w:w="70" w:type="dxa"/>
              <w:right w:w="70" w:type="dxa"/>
            </w:tcMar>
          </w:tcPr>
          <w:p>
            <w:pPr>
              <w:spacing w:line="240" w:lineRule="auto"/>
            </w:pPr>
            <w:r>
              <w:rPr>
                <w:rFonts w:ascii="Times New Roman" w:hAnsi="Times New Roman"/>
                <w:sz w:val="17"/>
              </w:rPr>
              <w:t>Periodic / Manual</w:t>
            </w:r>
          </w:p>
        </w:tc>
        <w:tc>
          <w:tcPr>
            <w:tcW w:type="dxa" w:w="2016"/>
            <w:tcMar>
              <w:top w:w="60" w:type="dxa"/>
              <w:bottom w:w="60" w:type="dxa"/>
              <w:left w:w="70" w:type="dxa"/>
              <w:right w:w="70" w:type="dxa"/>
            </w:tcMar>
          </w:tcPr>
          <w:p>
            <w:pPr>
              <w:spacing w:line="240" w:lineRule="auto"/>
            </w:pPr>
            <w:r>
              <w:rPr>
                <w:rFonts w:ascii="Times New Roman" w:hAnsi="Times New Roman"/>
                <w:sz w:val="17"/>
              </w:rPr>
              <w:t>Agent Dependent</w:t>
            </w:r>
          </w:p>
        </w:tc>
        <w:tc>
          <w:tcPr>
            <w:tcW w:type="dxa" w:w="2016"/>
            <w:tcMar>
              <w:top w:w="60" w:type="dxa"/>
              <w:bottom w:w="60" w:type="dxa"/>
              <w:left w:w="70" w:type="dxa"/>
              <w:right w:w="70" w:type="dxa"/>
            </w:tcMar>
          </w:tcPr>
          <w:p>
            <w:pPr>
              <w:spacing w:line="240" w:lineRule="auto"/>
            </w:pPr>
            <w:r>
              <w:rPr>
                <w:rFonts w:ascii="Times New Roman" w:hAnsi="Times New Roman"/>
                <w:sz w:val="17"/>
              </w:rPr>
              <w:t>Static Specification</w:t>
            </w:r>
          </w:p>
        </w:tc>
        <w:tc>
          <w:tcPr>
            <w:tcW w:type="dxa" w:w="2016"/>
            <w:tcMar>
              <w:top w:w="60" w:type="dxa"/>
              <w:bottom w:w="60" w:type="dxa"/>
              <w:left w:w="70" w:type="dxa"/>
              <w:right w:w="70" w:type="dxa"/>
            </w:tcMar>
            <w:shd w:fill="F0FDF4"/>
          </w:tcPr>
          <w:p>
            <w:pPr>
              <w:spacing w:line="240" w:lineRule="auto"/>
            </w:pPr>
            <w:r>
              <w:rPr>
                <w:rFonts w:ascii="Times New Roman" w:hAnsi="Times New Roman"/>
                <w:b/>
                <w:color w:val="166534"/>
                <w:sz w:val="17"/>
              </w:rPr>
              <w:t>Autonomous Recon Sweep &amp; Sync</w:t>
            </w:r>
          </w:p>
        </w:tc>
      </w:tr>
      <w:tr>
        <w:tc>
          <w:tcPr>
            <w:tcW w:type="dxa" w:w="2016"/>
            <w:tcMar>
              <w:top w:w="60" w:type="dxa"/>
              <w:bottom w:w="60" w:type="dxa"/>
              <w:left w:w="70" w:type="dxa"/>
              <w:right w:w="70" w:type="dxa"/>
            </w:tcMar>
            <w:shd w:fill="F8FAFC"/>
          </w:tcPr>
          <w:p>
            <w:pPr>
              <w:spacing w:line="240" w:lineRule="auto"/>
            </w:pPr>
            <w:r>
              <w:rPr>
                <w:rFonts w:ascii="Times New Roman" w:hAnsi="Times New Roman"/>
                <w:sz w:val="17"/>
              </w:rPr>
              <w:t>Defense Playbook Generation</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Generic Text Advisories</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None (Attack Only)</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Minimal Remediation</w:t>
            </w:r>
          </w:p>
        </w:tc>
        <w:tc>
          <w:tcPr>
            <w:tcW w:type="dxa" w:w="2016"/>
            <w:tcMar>
              <w:top w:w="60" w:type="dxa"/>
              <w:bottom w:w="60" w:type="dxa"/>
              <w:left w:w="70" w:type="dxa"/>
              <w:right w:w="70" w:type="dxa"/>
            </w:tcMar>
            <w:shd w:fill="F0FDF4"/>
          </w:tcPr>
          <w:p>
            <w:pPr>
              <w:spacing w:line="240" w:lineRule="auto"/>
            </w:pPr>
            <w:r>
              <w:rPr>
                <w:rFonts w:ascii="Times New Roman" w:hAnsi="Times New Roman"/>
                <w:b/>
                <w:color w:val="166534"/>
                <w:sz w:val="17"/>
              </w:rPr>
              <w:t>Prioritized CIS/NIST CLI Commands</w:t>
            </w:r>
          </w:p>
        </w:tc>
      </w:tr>
      <w:tr>
        <w:tc>
          <w:tcPr>
            <w:tcW w:type="dxa" w:w="2016"/>
            <w:tcMar>
              <w:top w:w="60" w:type="dxa"/>
              <w:bottom w:w="60" w:type="dxa"/>
              <w:left w:w="70" w:type="dxa"/>
              <w:right w:w="70" w:type="dxa"/>
            </w:tcMar>
          </w:tcPr>
          <w:p>
            <w:pPr>
              <w:spacing w:line="240" w:lineRule="auto"/>
            </w:pPr>
            <w:r>
              <w:rPr>
                <w:rFonts w:ascii="Times New Roman" w:hAnsi="Times New Roman"/>
                <w:sz w:val="17"/>
              </w:rPr>
              <w:t>Virtual Hardening Validation</w:t>
            </w:r>
          </w:p>
        </w:tc>
        <w:tc>
          <w:tcPr>
            <w:tcW w:type="dxa" w:w="2016"/>
            <w:tcMar>
              <w:top w:w="60" w:type="dxa"/>
              <w:bottom w:w="60" w:type="dxa"/>
              <w:left w:w="70" w:type="dxa"/>
              <w:right w:w="70" w:type="dxa"/>
            </w:tcMar>
          </w:tcPr>
          <w:p>
            <w:pPr>
              <w:spacing w:line="240" w:lineRule="auto"/>
            </w:pPr>
            <w:r>
              <w:rPr>
                <w:rFonts w:ascii="Times New Roman" w:hAnsi="Times New Roman"/>
                <w:sz w:val="17"/>
              </w:rPr>
              <w:t>No</w:t>
            </w:r>
          </w:p>
        </w:tc>
        <w:tc>
          <w:tcPr>
            <w:tcW w:type="dxa" w:w="2016"/>
            <w:tcMar>
              <w:top w:w="60" w:type="dxa"/>
              <w:bottom w:w="60" w:type="dxa"/>
              <w:left w:w="70" w:type="dxa"/>
              <w:right w:w="70" w:type="dxa"/>
            </w:tcMar>
          </w:tcPr>
          <w:p>
            <w:pPr>
              <w:spacing w:line="240" w:lineRule="auto"/>
            </w:pPr>
            <w:r>
              <w:rPr>
                <w:rFonts w:ascii="Times New Roman" w:hAnsi="Times New Roman"/>
                <w:sz w:val="17"/>
              </w:rPr>
              <w:t>No</w:t>
            </w:r>
          </w:p>
        </w:tc>
        <w:tc>
          <w:tcPr>
            <w:tcW w:type="dxa" w:w="2016"/>
            <w:tcMar>
              <w:top w:w="60" w:type="dxa"/>
              <w:bottom w:w="60" w:type="dxa"/>
              <w:left w:w="70" w:type="dxa"/>
              <w:right w:w="70" w:type="dxa"/>
            </w:tcMar>
          </w:tcPr>
          <w:p>
            <w:pPr>
              <w:spacing w:line="240" w:lineRule="auto"/>
            </w:pPr>
            <w:r>
              <w:rPr>
                <w:rFonts w:ascii="Times New Roman" w:hAnsi="Times New Roman"/>
                <w:sz w:val="17"/>
              </w:rPr>
              <w:t>Theoretical Metric</w:t>
            </w:r>
          </w:p>
        </w:tc>
        <w:tc>
          <w:tcPr>
            <w:tcW w:type="dxa" w:w="2016"/>
            <w:tcMar>
              <w:top w:w="60" w:type="dxa"/>
              <w:bottom w:w="60" w:type="dxa"/>
              <w:left w:w="70" w:type="dxa"/>
              <w:right w:w="70" w:type="dxa"/>
            </w:tcMar>
            <w:shd w:fill="F0FDF4"/>
          </w:tcPr>
          <w:p>
            <w:pPr>
              <w:spacing w:line="240" w:lineRule="auto"/>
            </w:pPr>
            <w:r>
              <w:rPr>
                <w:rFonts w:ascii="Times New Roman" w:hAnsi="Times New Roman"/>
                <w:b/>
                <w:color w:val="166534"/>
                <w:sz w:val="17"/>
              </w:rPr>
              <w:t>Interactive 1-Click State Mutation</w:t>
            </w:r>
          </w:p>
        </w:tc>
      </w:tr>
      <w:tr>
        <w:tc>
          <w:tcPr>
            <w:tcW w:type="dxa" w:w="2016"/>
            <w:tcMar>
              <w:top w:w="60" w:type="dxa"/>
              <w:bottom w:w="60" w:type="dxa"/>
              <w:left w:w="70" w:type="dxa"/>
              <w:right w:w="70" w:type="dxa"/>
            </w:tcMar>
            <w:shd w:fill="F8FAFC"/>
          </w:tcPr>
          <w:p>
            <w:pPr>
              <w:spacing w:line="240" w:lineRule="auto"/>
            </w:pPr>
            <w:r>
              <w:rPr>
                <w:rFonts w:ascii="Times New Roman" w:hAnsi="Times New Roman"/>
                <w:sz w:val="17"/>
              </w:rPr>
              <w:t>Topological Visualization</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Tabular Reports</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Flat 2D Flow</w:t>
            </w:r>
          </w:p>
        </w:tc>
        <w:tc>
          <w:tcPr>
            <w:tcW w:type="dxa" w:w="2016"/>
            <w:tcMar>
              <w:top w:w="60" w:type="dxa"/>
              <w:bottom w:w="60" w:type="dxa"/>
              <w:left w:w="70" w:type="dxa"/>
              <w:right w:w="70" w:type="dxa"/>
            </w:tcMar>
            <w:shd w:fill="F8FAFC"/>
          </w:tcPr>
          <w:p>
            <w:pPr>
              <w:spacing w:line="240" w:lineRule="auto"/>
            </w:pPr>
            <w:r>
              <w:rPr>
                <w:rFonts w:ascii="Times New Roman" w:hAnsi="Times New Roman"/>
                <w:sz w:val="17"/>
              </w:rPr>
              <w:t>Static Graphviz DOT</w:t>
            </w:r>
          </w:p>
        </w:tc>
        <w:tc>
          <w:tcPr>
            <w:tcW w:type="dxa" w:w="2016"/>
            <w:tcMar>
              <w:top w:w="60" w:type="dxa"/>
              <w:bottom w:w="60" w:type="dxa"/>
              <w:left w:w="70" w:type="dxa"/>
              <w:right w:w="70" w:type="dxa"/>
            </w:tcMar>
            <w:shd w:fill="F0FDF4"/>
          </w:tcPr>
          <w:p>
            <w:pPr>
              <w:spacing w:line="240" w:lineRule="auto"/>
            </w:pPr>
            <w:r>
              <w:rPr>
                <w:rFonts w:ascii="Times New Roman" w:hAnsi="Times New Roman"/>
                <w:b/>
                <w:color w:val="166534"/>
                <w:sz w:val="17"/>
              </w:rPr>
              <w:t>Real-Time 3D WebGL Holographic HUD</w:t>
            </w:r>
          </w:p>
        </w:tc>
      </w:tr>
    </w:tbl>
    <w:p>
      <w:pPr>
        <w:spacing w:after="80"/>
      </w:pPr>
    </w:p>
    <w:p>
      <w:pPr>
        <w:spacing w:before="240" w:after="80"/>
        <w:jc w:val="center"/>
      </w:pPr>
      <w:r>
        <w:rPr>
          <w:rFonts w:ascii="Times New Roman" w:hAnsi="Times New Roman"/>
          <w:b/>
          <w:color w:val="0F172A"/>
          <w:sz w:val="22"/>
        </w:rPr>
        <w:t>III. PROBLEM STATEMENT &amp; DESIGN OBJECTIVES</w:t>
      </w:r>
    </w:p>
    <w:p>
      <w:pPr>
        <w:spacing w:before="160" w:after="60"/>
      </w:pPr>
      <w:r>
        <w:rPr>
          <w:rFonts w:ascii="Times New Roman" w:hAnsi="Times New Roman"/>
          <w:b/>
          <w:i/>
          <w:color w:val="1E293B"/>
          <w:sz w:val="20"/>
        </w:rPr>
        <w:t>A. Existing System Limitations</w:t>
      </w:r>
    </w:p>
    <w:p>
      <w:r>
        <w:rPr>
          <w:rFonts w:ascii="Times New Roman" w:hAnsi="Times New Roman"/>
          <w:sz w:val="20"/>
        </w:rPr>
        <w:t>Current security assessment methodologies suffer from four fundamental operational constraints:</w:t>
      </w:r>
    </w:p>
    <w:p>
      <w:pPr>
        <w:pStyle w:val="ListBullet"/>
        <w:spacing w:after="60" w:line="252" w:lineRule="auto"/>
      </w:pPr>
      <w:r>
        <w:rPr>
          <w:b/>
          <w:sz w:val="20"/>
        </w:rPr>
        <w:t xml:space="preserve">1) Substantial Cost and Time Requirements: </w:t>
      </w:r>
      <w:r>
        <w:rPr>
          <w:sz w:val="20"/>
        </w:rPr>
        <w:t>Conventional penetration testing requires certified human auditors, requiring manual discovery, exploit verification, and report writing over 2 to 4 weeks.</w:t>
      </w:r>
    </w:p>
    <w:p>
      <w:pPr>
        <w:pStyle w:val="ListBullet"/>
        <w:spacing w:after="60" w:line="252" w:lineRule="auto"/>
      </w:pPr>
      <w:r>
        <w:rPr>
          <w:b/>
          <w:sz w:val="20"/>
        </w:rPr>
        <w:t xml:space="preserve">2) Fragmented Vulnerability Analysis: </w:t>
      </w:r>
      <w:r>
        <w:rPr>
          <w:sz w:val="20"/>
        </w:rPr>
        <w:t>Standard scanners identify independent CVEs but fail to compute multi-hop attack vectors that simulate how real-world attackers pivot through connected systems.</w:t>
      </w:r>
    </w:p>
    <w:p>
      <w:pPr>
        <w:pStyle w:val="ListBullet"/>
        <w:spacing w:after="60" w:line="252" w:lineRule="auto"/>
      </w:pPr>
      <w:r>
        <w:rPr>
          <w:b/>
          <w:sz w:val="20"/>
        </w:rPr>
        <w:t xml:space="preserve">3) Static and Unactionable Reporting: </w:t>
      </w:r>
      <w:r>
        <w:rPr>
          <w:sz w:val="20"/>
        </w:rPr>
        <w:t>Traditional outputs are static PDF documents produced long after scan completion, lacking interactive graph exploration or live telemetry.</w:t>
      </w:r>
    </w:p>
    <w:p>
      <w:pPr>
        <w:pStyle w:val="ListBullet"/>
        <w:spacing w:after="60" w:line="252" w:lineRule="auto"/>
      </w:pPr>
      <w:r>
        <w:rPr>
          <w:b/>
          <w:sz w:val="20"/>
        </w:rPr>
        <w:t xml:space="preserve">4) Uncontained Execution Risks: </w:t>
      </w:r>
      <w:r>
        <w:rPr>
          <w:sz w:val="20"/>
        </w:rPr>
        <w:t>Running scanning scripts directly on host environments risks unintended service degradation.</w:t>
      </w:r>
    </w:p>
    <w:p>
      <w:pPr>
        <w:spacing w:before="160" w:after="60"/>
      </w:pPr>
      <w:r>
        <w:rPr>
          <w:rFonts w:ascii="Times New Roman" w:hAnsi="Times New Roman"/>
          <w:b/>
          <w:i/>
          <w:color w:val="1E293B"/>
          <w:sz w:val="20"/>
        </w:rPr>
        <w:t>B. Core Design Objectives</w:t>
      </w:r>
    </w:p>
    <w:p>
      <w:r>
        <w:rPr>
          <w:rFonts w:ascii="Times New Roman" w:hAnsi="Times New Roman"/>
          <w:sz w:val="20"/>
        </w:rPr>
        <w:t>To resolve these limitations, TwinAgentAI was engineered around seven primary design objectives:</w:t>
      </w:r>
    </w:p>
    <w:p>
      <w:pPr>
        <w:pStyle w:val="ListBullet"/>
        <w:spacing w:after="60" w:line="252" w:lineRule="auto"/>
      </w:pPr>
      <w:r>
        <w:rPr>
          <w:b/>
          <w:sz w:val="20"/>
        </w:rPr>
        <w:t xml:space="preserve">O1 – End-to-End Automation: </w:t>
      </w:r>
      <w:r>
        <w:rPr>
          <w:sz w:val="20"/>
        </w:rPr>
        <w:t>Minimize human intervention by orchestrating autonomous agents across the entire lifecycle from network discovery to defensive validation.</w:t>
      </w:r>
    </w:p>
    <w:p>
      <w:pPr>
        <w:pStyle w:val="ListBullet"/>
        <w:spacing w:after="60" w:line="252" w:lineRule="auto"/>
      </w:pPr>
      <w:r>
        <w:rPr>
          <w:b/>
          <w:sz w:val="20"/>
        </w:rPr>
        <w:t xml:space="preserve">O2 – Authoritative Risk Correlation: </w:t>
      </w:r>
      <w:r>
        <w:rPr>
          <w:sz w:val="20"/>
        </w:rPr>
        <w:t>Integrate standardized CVE databases with CVSS v3.1 scoring, service categorization, and asset criticality weighting to eliminate qualitative ambiguity.</w:t>
      </w:r>
    </w:p>
    <w:p>
      <w:pPr>
        <w:pStyle w:val="ListBullet"/>
        <w:spacing w:after="60" w:line="252" w:lineRule="auto"/>
      </w:pPr>
      <w:r>
        <w:rPr>
          <w:b/>
          <w:sz w:val="20"/>
        </w:rPr>
        <w:t xml:space="preserve">O3 – Graph-Based Attack Path Reasoning: </w:t>
      </w:r>
      <w:r>
        <w:rPr>
          <w:sz w:val="20"/>
        </w:rPr>
        <w:t>Employ labeled property graphs (Neo4j) and graph search algorithms to chain vulnerability relationships into topologically ordered multi-stage attack paths.</w:t>
      </w:r>
    </w:p>
    <w:p>
      <w:pPr>
        <w:pStyle w:val="ListBullet"/>
        <w:spacing w:after="60" w:line="252" w:lineRule="auto"/>
      </w:pPr>
      <w:r>
        <w:rPr>
          <w:b/>
          <w:sz w:val="20"/>
        </w:rPr>
        <w:t xml:space="preserve">O4 – Live Visual Telemetry &amp; 3D Twin: </w:t>
      </w:r>
      <w:r>
        <w:rPr>
          <w:sz w:val="20"/>
        </w:rPr>
        <w:t>Provide an interactive 3D WebGL command center displaying continuous rotational parallax, real-time node telemetry, and animated kill-chain conduits.</w:t>
      </w:r>
    </w:p>
    <w:p>
      <w:pPr>
        <w:pStyle w:val="ListBullet"/>
        <w:spacing w:after="60" w:line="252" w:lineRule="auto"/>
      </w:pPr>
      <w:r>
        <w:rPr>
          <w:b/>
          <w:sz w:val="20"/>
        </w:rPr>
        <w:t xml:space="preserve">O5 – Safe Air-Gapped Simulation Sandbox: </w:t>
      </w:r>
      <w:r>
        <w:rPr>
          <w:sz w:val="20"/>
        </w:rPr>
        <w:t>Enforce zero-risk execution boundaries by performing all lateral attack simulations and defensive mutations entirely within the software digital twin.</w:t>
      </w:r>
    </w:p>
    <w:p>
      <w:pPr>
        <w:pStyle w:val="ListBullet"/>
        <w:spacing w:after="60" w:line="252" w:lineRule="auto"/>
      </w:pPr>
      <w:r>
        <w:rPr>
          <w:b/>
          <w:sz w:val="20"/>
        </w:rPr>
        <w:t xml:space="preserve">O6 – Adversarial Attack Simulation &amp; Virtual Hardening: </w:t>
      </w:r>
      <w:r>
        <w:rPr>
          <w:sz w:val="20"/>
        </w:rPr>
        <w:t>Offer realistic MITRE ATT&amp;CK adversary trajectory simulation paired with 1-Click Virtual Hardening to evaluate control efficacy before physical deployment.</w:t>
      </w:r>
    </w:p>
    <w:p>
      <w:pPr>
        <w:pStyle w:val="ListBullet"/>
        <w:spacing w:after="60" w:line="252" w:lineRule="auto"/>
      </w:pPr>
      <w:r>
        <w:rPr>
          <w:b/>
          <w:sz w:val="20"/>
        </w:rPr>
        <w:t xml:space="preserve">O7 – Full Audit Trail &amp; Persistence: </w:t>
      </w:r>
      <w:r>
        <w:rPr>
          <w:sz w:val="20"/>
        </w:rPr>
        <w:t>Persist all telemetry, scan history, vulnerability findings, and compliance snapshots in a dual-persistence database layer for continuous auditing.</w:t>
      </w:r>
    </w:p>
    <w:p>
      <w:pPr>
        <w:spacing w:before="240" w:after="80"/>
        <w:jc w:val="center"/>
      </w:pPr>
      <w:r>
        <w:rPr>
          <w:rFonts w:ascii="Times New Roman" w:hAnsi="Times New Roman"/>
          <w:b/>
          <w:color w:val="0F172A"/>
          <w:sz w:val="22"/>
        </w:rPr>
        <w:t>IV. PROPOSED SYSTEM ARCHITECTURE</w:t>
      </w:r>
    </w:p>
    <w:p>
      <w:r>
        <w:rPr>
          <w:rFonts w:ascii="Times New Roman" w:hAnsi="Times New Roman"/>
          <w:sz w:val="20"/>
        </w:rPr>
        <w:t>TwinAgentAI implements a decoupled micro-agent architecture coordinated by a high-performance asynchronous API engine. The architecture is engineered around the core principle of Dual Persistence, ensuring optimal data representation for both relational state integrity and non-relational topological graph operations.</w:t>
      </w:r>
    </w:p>
    <w:p>
      <w:pPr>
        <w:spacing w:before="160" w:after="60"/>
      </w:pPr>
      <w:r>
        <w:rPr>
          <w:rFonts w:ascii="Times New Roman" w:hAnsi="Times New Roman"/>
          <w:b/>
          <w:i/>
          <w:color w:val="1E293B"/>
          <w:sz w:val="20"/>
        </w:rPr>
        <w:t>A. System Actors &amp; Domain Roles</w:t>
      </w:r>
    </w:p>
    <w:p>
      <w:pPr>
        <w:pStyle w:val="ListBullet"/>
        <w:spacing w:after="60" w:line="252" w:lineRule="auto"/>
      </w:pPr>
      <w:r>
        <w:rPr>
          <w:b/>
          <w:sz w:val="20"/>
        </w:rPr>
        <w:t xml:space="preserve">1) Operator (Security Analyst): </w:t>
      </w:r>
      <w:r>
        <w:rPr>
          <w:sz w:val="20"/>
        </w:rPr>
        <w:t>Submits target scopes (IP addresses/subnets), monitors live 3D holographic twin telemetry, triggers attack simulations, applies 1-Click Virtual Hardening, and exports compliance audit reports.</w:t>
      </w:r>
    </w:p>
    <w:p>
      <w:pPr>
        <w:pStyle w:val="ListBullet"/>
        <w:spacing w:after="60" w:line="252" w:lineRule="auto"/>
      </w:pPr>
      <w:r>
        <w:rPr>
          <w:b/>
          <w:sz w:val="20"/>
        </w:rPr>
        <w:t xml:space="preserve">2) AI Orchestrator (FastAPI Engine): </w:t>
      </w:r>
      <w:r>
        <w:rPr>
          <w:sz w:val="20"/>
        </w:rPr>
        <w:t>Central asynchronous coordinator managing state transitions, inter-agent message piping, database synchronization, and RESTful API endpoints.</w:t>
      </w:r>
    </w:p>
    <w:p>
      <w:pPr>
        <w:pStyle w:val="ListBullet"/>
        <w:spacing w:after="60" w:line="252" w:lineRule="auto"/>
      </w:pPr>
      <w:r>
        <w:rPr>
          <w:b/>
          <w:sz w:val="20"/>
        </w:rPr>
        <w:t xml:space="preserve">3) Security Administrator: </w:t>
      </w:r>
      <w:r>
        <w:rPr>
          <w:sz w:val="20"/>
        </w:rPr>
        <w:t>Manages user authentication, controls role-based access, configures threat intelligence sources, and oversees fleet-wide infrastructure policies.</w:t>
      </w:r>
    </w:p>
    <w:p>
      <w:pPr>
        <w:spacing w:before="160" w:after="60"/>
      </w:pPr>
      <w:r>
        <w:rPr>
          <w:rFonts w:ascii="Times New Roman" w:hAnsi="Times New Roman"/>
          <w:b/>
          <w:i/>
          <w:color w:val="1E293B"/>
          <w:sz w:val="20"/>
        </w:rPr>
        <w:t>B. Pipeline Module Breakdown</w:t>
      </w:r>
    </w:p>
    <w:p>
      <w:pPr>
        <w:pStyle w:val="ListBullet"/>
        <w:spacing w:after="60" w:line="252" w:lineRule="auto"/>
      </w:pPr>
      <w:r>
        <w:rPr>
          <w:b/>
          <w:sz w:val="20"/>
        </w:rPr>
        <w:t xml:space="preserve">• Reconnaissance Module: </w:t>
      </w:r>
      <w:r>
        <w:rPr>
          <w:sz w:val="20"/>
        </w:rPr>
        <w:t>Executes non-intrusive Nmap socket sweeps to detect open TCP/UDP ports, transport protocols, and service banners, dynamically syncing state into PostgreSQL and Neo4j.</w:t>
      </w:r>
    </w:p>
    <w:p>
      <w:pPr>
        <w:pStyle w:val="ListBullet"/>
        <w:spacing w:after="60" w:line="252" w:lineRule="auto"/>
      </w:pPr>
      <w:r>
        <w:rPr>
          <w:b/>
          <w:sz w:val="20"/>
        </w:rPr>
        <w:t xml:space="preserve">• Threat Intelligence Module: </w:t>
      </w:r>
      <w:r>
        <w:rPr>
          <w:sz w:val="20"/>
        </w:rPr>
        <w:t>Analyzes open ports for vulnerability classifications, correlates CVE records, and computes multi-stage lateral attack paths across the MITRE ATT&amp;CK matrix using graph search algorithms.</w:t>
      </w:r>
    </w:p>
    <w:p>
      <w:pPr>
        <w:pStyle w:val="ListBullet"/>
        <w:spacing w:after="60" w:line="252" w:lineRule="auto"/>
      </w:pPr>
      <w:r>
        <w:rPr>
          <w:b/>
          <w:sz w:val="20"/>
        </w:rPr>
        <w:t xml:space="preserve">• Autonomous Defense Module: </w:t>
      </w:r>
      <w:r>
        <w:rPr>
          <w:sz w:val="20"/>
        </w:rPr>
        <w:t>Synthesizes prioritized mitigation playbooks mapped to CIS Controls v8 and NIST SP 800-53, generates production CLI firewall commands, and performs 1-Click Virtual Hardening.</w:t>
      </w:r>
    </w:p>
    <w:p>
      <w:pPr>
        <w:pStyle w:val="ListBullet"/>
        <w:spacing w:after="60" w:line="252" w:lineRule="auto"/>
      </w:pPr>
      <w:r>
        <w:rPr>
          <w:b/>
          <w:sz w:val="20"/>
        </w:rPr>
        <w:t xml:space="preserve">• Quantitative Risk Module: </w:t>
      </w:r>
      <w:r>
        <w:rPr>
          <w:sz w:val="20"/>
        </w:rPr>
        <w:t>Calculates mathematical composite risk scores (0 - 100), plots findings onto a dynamic 5x5 Likelihood vs. Impact heatmap, and evaluates posture evolution over time.</w:t>
      </w:r>
    </w:p>
    <w:p>
      <w:pPr>
        <w:spacing w:before="160" w:after="60"/>
      </w:pPr>
      <w:r>
        <w:rPr>
          <w:rFonts w:ascii="Times New Roman" w:hAnsi="Times New Roman"/>
          <w:b/>
          <w:i/>
          <w:color w:val="1E293B"/>
          <w:sz w:val="20"/>
        </w:rPr>
        <w:t>C. Architectural UML Models</w:t>
      </w:r>
    </w:p>
    <w:p>
      <w:r>
        <w:rPr>
          <w:rFonts w:ascii="Times New Roman" w:hAnsi="Times New Roman"/>
          <w:sz w:val="20"/>
        </w:rPr>
        <w:t>The system architecture and operational workflows are modeled across Figs. 1 through 6:</w:t>
      </w:r>
    </w:p>
    <w:p>
      <w:pPr>
        <w:spacing w:before="120" w:after="40"/>
      </w:pPr>
      <w:r>
        <w:rPr>
          <w:b/>
          <w:color w:val="0F172A"/>
          <w:sz w:val="18"/>
        </w:rPr>
        <w:t>Fig. 2. Level 1 Data Flow Diagram (DFD) Illustrating System Process Boundaries</w:t>
      </w:r>
    </w:p>
    <w:tbl>
      <w:tblPr>
        <w:tblW w:type="auto" w:w="0"/>
        <w:jc w:val="center"/>
        <w:tblLook w:firstColumn="1" w:firstRow="1" w:lastColumn="0" w:lastRow="0" w:noHBand="0" w:noVBand="1" w:val="04A0"/>
      </w:tblPr>
      <w:tblGrid>
        <w:gridCol w:w="10080"/>
      </w:tblGrid>
      <w:tr>
        <w:tc>
          <w:tcPr>
            <w:tcW w:type="dxa" w:w="10080"/>
            <w:shd w:fill="F1F5F9"/>
            <w:tcMar>
              <w:top w:w="80" w:type="dxa"/>
              <w:bottom w:w="80" w:type="dxa"/>
              <w:left w:w="100" w:type="dxa"/>
              <w:right w:w="100" w:type="dxa"/>
            </w:tcMar>
          </w:tcPr>
          <w:p>
            <w:pPr>
              <w:spacing w:line="240" w:lineRule="auto"/>
            </w:pPr>
            <w:r>
              <w:rPr>
                <w:rFonts w:ascii="Consolas" w:hAnsi="Consolas"/>
                <w:color w:val="0F172A"/>
                <w:sz w:val="15"/>
              </w:rPr>
              <w:t>[User / Operator] ──(Target IP/Scope)──► [1.0 Target Ingestion &amp; Scope Validation]</w:t>
              <w:br/>
              <w:t xml:space="preserve">                                                    │</w:t>
              <w:br/>
              <w:t xml:space="preserve">                                            (Validated Target)</w:t>
              <w:br/>
              <w:t xml:space="preserve">                                                    ▼</w:t>
              <w:br/>
              <w:t xml:space="preserve">                                        [2.0 Nmap Recon Sweep Engine]</w:t>
              <w:br/>
              <w:t xml:space="preserve">                                                    │</w:t>
              <w:br/>
              <w:t xml:space="preserve">                                           (Discovered Sockets)</w:t>
              <w:br/>
              <w:t xml:space="preserve">                                                    ▼</w:t>
              <w:br/>
              <w:t xml:space="preserve">                                     [3.0 Digital Twin Sync Manager]</w:t>
              <w:br/>
              <w:t xml:space="preserve">                                           │                 │</w:t>
              <w:br/>
              <w:t xml:space="preserve">                          (Relational State)                 (Graph Topology)</w:t>
              <w:br/>
              <w:t xml:space="preserve">                                           ▼                 ▼</w:t>
              <w:br/>
              <w:t xml:space="preserve">                                   [(D1) PostgreSQL]   [(D2) Neo4j Graph]</w:t>
              <w:br/>
              <w:t xml:space="preserve">                                           │                 │</w:t>
              <w:br/>
              <w:t xml:space="preserve">                                           └────────┬────────┘</w:t>
              <w:br/>
              <w:t xml:space="preserve">                                                    ▼</w:t>
              <w:br/>
              <w:t xml:space="preserve">                                      [4.0 Threat Analysis &amp; ATT&amp;CK]</w:t>
              <w:br/>
              <w:t xml:space="preserve">                                                    │</w:t>
              <w:br/>
              <w:t xml:space="preserve">                                      (MITRE Attack Paths &amp; CVEs)</w:t>
              <w:br/>
              <w:t xml:space="preserve">                                                    ▼</w:t>
              <w:br/>
              <w:t xml:space="preserve">                                      [5.0 Quantitative Risk Engine]</w:t>
              <w:br/>
              <w:t xml:space="preserve">                                                    │</w:t>
              <w:br/>
              <w:t xml:space="preserve">                                          (Composite Posture)</w:t>
              <w:br/>
              <w:t xml:space="preserve">                                                    ▼</w:t>
              <w:br/>
              <w:t xml:space="preserve">                                     [6.0 Defense Virtual Hardening]</w:t>
              <w:br/>
              <w:t xml:space="preserve">                                                    │</w:t>
              <w:br/>
              <w:t xml:space="preserve">                                     [7.0 3D WebGL HUD &amp; PDF Export]</w:t>
              <w:br/>
              <w:t xml:space="preserve">                                                    │</w:t>
              <w:br/>
              <w:t xml:space="preserve">                                            (Live Telemetry)</w:t>
              <w:br/>
              <w:t xml:space="preserve">                                                    ▼</w:t>
              <w:br/>
              <w:t xml:space="preserve">                                           [Operator Dashboard]</w:t>
            </w:r>
          </w:p>
        </w:tc>
      </w:tr>
    </w:tbl>
    <w:p>
      <w:pPr>
        <w:spacing w:before="120" w:after="40"/>
      </w:pPr>
      <w:r>
        <w:rPr>
          <w:b/>
          <w:color w:val="0F172A"/>
          <w:sz w:val="18"/>
        </w:rPr>
        <w:t>Fig. 6. Sequence Diagram of End-to-End Execution Workflow</w:t>
      </w:r>
    </w:p>
    <w:tbl>
      <w:tblPr>
        <w:tblW w:type="auto" w:w="0"/>
        <w:jc w:val="center"/>
        <w:tblLook w:firstColumn="1" w:firstRow="1" w:lastColumn="0" w:lastRow="0" w:noHBand="0" w:noVBand="1" w:val="04A0"/>
      </w:tblPr>
      <w:tblGrid>
        <w:gridCol w:w="10080"/>
      </w:tblGrid>
      <w:tr>
        <w:tc>
          <w:tcPr>
            <w:tcW w:type="dxa" w:w="10080"/>
            <w:shd w:fill="F1F5F9"/>
            <w:tcMar>
              <w:top w:w="80" w:type="dxa"/>
              <w:bottom w:w="80" w:type="dxa"/>
              <w:left w:w="100" w:type="dxa"/>
              <w:right w:w="100" w:type="dxa"/>
            </w:tcMar>
          </w:tcPr>
          <w:p>
            <w:pPr>
              <w:spacing w:line="240" w:lineRule="auto"/>
            </w:pPr>
            <w:r>
              <w:rPr>
                <w:rFonts w:ascii="Consolas" w:hAnsi="Consolas"/>
                <w:color w:val="0F172A"/>
                <w:sz w:val="15"/>
              </w:rPr>
              <w:t>Analyst (UI)       FastAPI Gateway     Recon/Threat Agent     Neo4j Graph        PostgreSQL</w:t>
              <w:br/>
              <w:t xml:space="preserve">     │                    │                    │                   │                  │</w:t>
              <w:br/>
              <w:t xml:space="preserve">     │── 1. POST /scan ──►│                    │                   │                  │</w:t>
              <w:br/>
              <w:t xml:space="preserve">     │                    │── 2. Run Scan ────►│                   │                  │</w:t>
              <w:br/>
              <w:t xml:space="preserve">     │                    │                    │── 3. Insert Row ────────────────────►│</w:t>
              <w:br/>
              <w:t xml:space="preserve">     │                    │                    │── 4. Cypher Merge►│                  │</w:t>
              <w:br/>
              <w:t xml:space="preserve">     │                    │◄── 5. Scan Res ────│                   │                  │</w:t>
              <w:br/>
              <w:t xml:space="preserve">     │                    │── 6. Threat Sim ──►│                   │                  │</w:t>
              <w:br/>
              <w:t xml:space="preserve">     │                    │                    │── 7. Query Paths ─►│                 │</w:t>
              <w:br/>
              <w:t xml:space="preserve">     │                    │                    │◄── 8. Traversal ──│                  │</w:t>
              <w:br/>
              <w:t xml:space="preserve">     │                    │◄── 9. Threats ─────│                   │                  │</w:t>
              <w:br/>
              <w:t xml:space="preserve">     │                    │── 10. Eval Risk ──►│                   │                  │</w:t>
              <w:br/>
              <w:t xml:space="preserve">     │                    │◄── 11. Score ──────│                   │                  │</w:t>
              <w:br/>
              <w:t xml:space="preserve">     │◄── 12. Full Twin ──│                    │                   │                  │</w:t>
              <w:br/>
              <w:t xml:space="preserve">     │                    │                    │                   │                  │</w:t>
              <w:br/>
              <w:t xml:space="preserve">     │── 13. Hardening ──►│                    │                   │                  │</w:t>
              <w:br/>
              <w:t xml:space="preserve">     │                    │── 14. Mutate State────────────────────►│                  │</w:t>
              <w:br/>
              <w:t xml:space="preserve">     │                    │── 15. Sever Paths ────────────────────►│                  │</w:t>
              <w:br/>
              <w:t xml:space="preserve">     │                    │── 16. Recalc Risk ─►│                  │                  │</w:t>
              <w:br/>
              <w:t xml:space="preserve">     │◄── 17. Risk Delta ─│                    │                   │                  │</w:t>
            </w:r>
          </w:p>
        </w:tc>
      </w:tr>
    </w:tbl>
    <w:p>
      <w:pPr>
        <w:spacing w:before="240" w:after="80"/>
        <w:jc w:val="center"/>
      </w:pPr>
      <w:r>
        <w:rPr>
          <w:rFonts w:ascii="Times New Roman" w:hAnsi="Times New Roman"/>
          <w:b/>
          <w:color w:val="0F172A"/>
          <w:sz w:val="22"/>
        </w:rPr>
        <w:t>V. METHODOLOGY, MATHEMATICAL FORMULATION &amp; ALGORITHMS</w:t>
      </w:r>
    </w:p>
    <w:p>
      <w:pPr>
        <w:spacing w:before="160" w:after="60"/>
      </w:pPr>
      <w:r>
        <w:rPr>
          <w:rFonts w:ascii="Times New Roman" w:hAnsi="Times New Roman"/>
          <w:b/>
          <w:i/>
          <w:color w:val="1E293B"/>
          <w:sz w:val="20"/>
        </w:rPr>
        <w:t>A. Vulnerability Mapping &amp; Composite CVSS Scoring</w:t>
      </w:r>
    </w:p>
    <w:p>
      <w:r>
        <w:rPr>
          <w:rFonts w:ascii="Times New Roman" w:hAnsi="Times New Roman"/>
          <w:sz w:val="20"/>
        </w:rPr>
        <w:t>Each active listening socket discovered on asset v_a is parsed to identify protocol banners, application names, and version signatures. Discovered services are matched against Common Platform Enumeration (CPE) identifiers and cross-referenced with the National Vulnerability Database (NVD). Base severity metrics are evaluated according to CVSS v3.1:</w:t>
        <w:br/>
        <w:br/>
        <w:t xml:space="preserve">    CVSS_Base = min(10.0, ISS + Impact + Exploitability)                     (1)</w:t>
        <w:br/>
        <w:br/>
        <w:t>where the Impact Sub-Score (ISS) is computed from Confidentiality, Integrity, and Availability impact vector weights.</w:t>
      </w:r>
    </w:p>
    <w:p>
      <w:pPr>
        <w:spacing w:before="160" w:after="60"/>
      </w:pPr>
      <w:r>
        <w:rPr>
          <w:rFonts w:ascii="Times New Roman" w:hAnsi="Times New Roman"/>
          <w:b/>
          <w:i/>
          <w:color w:val="1E293B"/>
          <w:sz w:val="20"/>
        </w:rPr>
        <w:t>B. Graph-Theoretic Attack Path Formulation</w:t>
      </w:r>
    </w:p>
    <w:p>
      <w:r>
        <w:rPr>
          <w:rFonts w:ascii="Times New Roman" w:hAnsi="Times New Roman"/>
          <w:sz w:val="20"/>
        </w:rPr>
        <w:t>The Cyber Digital Twin network is formally modeled as a directed labeled property multigraph:</w:t>
        <w:br/>
        <w:br/>
        <w:t xml:space="preserve">    G = (V, E, W)                                                            (2)</w:t>
        <w:br/>
        <w:br/>
        <w:t>where the vertex set V is partitioned into five distinct semantic classes:</w:t>
        <w:br/>
        <w:br/>
        <w:t xml:space="preserve">    V = V_Asset ∪ V_Service ∪ V_Threat ∪ V_Risk ∪ V_Recommendation            (3)</w:t>
        <w:br/>
        <w:br/>
        <w:t>The directed edge set E ⊆ V × V represents attributed operational dependencies:</w:t>
        <w:br/>
        <w:br/>
        <w:t xml:space="preserve">    E = E_HAS_SERVICE ∪ E_HAS_THREAT ∪ E_ASSESSED_AS ∪ E_MITIGATED_BY ∪ E_CAN_PIVOT_TO    (4)</w:t>
        <w:br/>
        <w:br/>
        <w:t>Every edge e = (u, v) ∈ E is assigned an exploit cost weight W(e) ∈ R+, representing the inverse difficulty of adversary traversal. The Threat Agent computes the shortest and most probable lateral movement paths between an external attacker entry node and an internal critical asset using a modified Dijkstra search algorithm:</w:t>
        <w:br/>
        <w:br/>
        <w:t xml:space="preserve">    P* = arg min_{P} ∑_{e ∈ P} W(e)                                          (5)</w:t>
      </w:r>
    </w:p>
    <w:p>
      <w:pPr>
        <w:spacing w:before="160" w:after="60"/>
      </w:pPr>
      <w:r>
        <w:rPr>
          <w:rFonts w:ascii="Times New Roman" w:hAnsi="Times New Roman"/>
          <w:b/>
          <w:i/>
          <w:color w:val="1E293B"/>
          <w:sz w:val="20"/>
        </w:rPr>
        <w:t>C. Quantitative Multi-Factor Risk Formulation</w:t>
      </w:r>
    </w:p>
    <w:p>
      <w:r>
        <w:rPr>
          <w:rFonts w:ascii="Times New Roman" w:hAnsi="Times New Roman"/>
          <w:sz w:val="20"/>
        </w:rPr>
        <w:t>For each threat finding j ∈ T, a finding risk score F_j ∈ [0, 100] is computed:</w:t>
        <w:br/>
        <w:br/>
        <w:t xml:space="preserve">    F_j = min(100, S_base(sev_j) + C_bonus(cat_j, port_j, service_j))        (6)</w:t>
        <w:br/>
        <w:br/>
        <w:t>where S_base(sev) = 90 for CRITICAL, 75 for HIGH, 50 for MEDIUM, 20 for LOW, and 10 otherwise. The context bonus C_bonus ≤ 18 models protocol-specific attack utility (e.g., +12 for unencrypted Telnet, +8 for FTP, +7 for databases, +6 for SMB).</w:t>
        <w:br/>
        <w:br/>
        <w:t>The overall asset risk score R_final balances average vulnerability pressure against peak exploitability:</w:t>
        <w:br/>
        <w:br/>
        <w:t xml:space="preserve">    μ_findings = (1 / |T|) ∑_{j ∈ T} F_j,     S_max = max_{j ∈ T} F_j        (7)</w:t>
        <w:br/>
        <w:t xml:space="preserve">    E_bonus = min(15, max(0, |T| - 1) * 5)                                   (8)</w:t>
        <w:br/>
        <w:t xml:space="preserve">    R_raw = (0.65 * μ_findings) + (0.35 * S_max) + E_bonus                   (9)</w:t>
        <w:br/>
        <w:t xml:space="preserve">    R_final = min(100, max(0, round(R_raw * α_criticality)))                (10)</w:t>
        <w:br/>
        <w:br/>
        <w:t>where α_criticality ∈ [0.5, 2.0] scales risk according to asset value (1.8 for crown jewel databases, 1.2 for perimeter web gateways).</w:t>
      </w:r>
    </w:p>
    <w:p>
      <w:pPr>
        <w:spacing w:before="120" w:after="40"/>
      </w:pPr>
      <w:r>
        <w:rPr>
          <w:b/>
          <w:color w:val="0F172A"/>
          <w:sz w:val="18"/>
        </w:rPr>
        <w:t>Algorithm 1: Autonomous Multi-Agent Digital Twin Emulation &amp; Attack Path Reasoning</w:t>
      </w:r>
    </w:p>
    <w:tbl>
      <w:tblPr>
        <w:tblW w:type="auto" w:w="0"/>
        <w:jc w:val="center"/>
        <w:tblLook w:firstColumn="1" w:firstRow="1" w:lastColumn="0" w:lastRow="0" w:noHBand="0" w:noVBand="1" w:val="04A0"/>
      </w:tblPr>
      <w:tblGrid>
        <w:gridCol w:w="10080"/>
      </w:tblGrid>
      <w:tr>
        <w:tc>
          <w:tcPr>
            <w:tcW w:type="dxa" w:w="10080"/>
            <w:shd w:fill="F1F5F9"/>
            <w:tcMar>
              <w:top w:w="80" w:type="dxa"/>
              <w:bottom w:w="80" w:type="dxa"/>
              <w:left w:w="100" w:type="dxa"/>
              <w:right w:w="100" w:type="dxa"/>
            </w:tcMar>
          </w:tcPr>
          <w:p>
            <w:pPr>
              <w:spacing w:line="240" w:lineRule="auto"/>
            </w:pPr>
            <w:r>
              <w:rPr>
                <w:rFonts w:ascii="Consolas" w:hAnsi="Consolas"/>
                <w:color w:val="0F172A"/>
                <w:sz w:val="15"/>
              </w:rPr>
              <w:t>Algorithm 1: Autonomous Multi-Agent Digital Twin Emulation &amp; Attack Path Reasoning</w:t>
              <w:br/>
              <w:t>Input : Target Scope T, Criticality Multiplier α_crit</w:t>
              <w:br/>
              <w:t>Output: Digital Twin Graph G(V, E), Attack Paths P*, Risk Posture R, Hardened Delta ΔR</w:t>
              <w:br/>
              <w:t>1: S ← create_initial_state(UUID(), T)</w:t>
              <w:br/>
              <w:t>2: R_recon ← ExecuteNmapSweep(T, flags="-sT -T4")</w:t>
              <w:br/>
              <w:t>3: (asset_id, ports) ← PersistRelationalState(R_recon, PostgreSQL)</w:t>
              <w:br/>
              <w:t>4: SyncPropertyGraph(asset_id, ports, Neo4j)</w:t>
              <w:br/>
              <w:t>5: T_findings ← AnalyzeAssetThreats(asset_id, ports)</w:t>
              <w:br/>
              <w:t>6: P* ← ComputeMITREAttackPaths(asset_id, ports, Neo4j)</w:t>
              <w:br/>
              <w:t>7: R ← AssessQuantitativeRisk(asset_id, T_findings, α_crit)</w:t>
              <w:br/>
              <w:t>8: D_playbooks ← GenerateDefenseRecommendations(asset_id, T_findings)</w:t>
              <w:br/>
              <w:t>9: RenderHolographicCommandCenter(G, P*, R, D_playbooks)</w:t>
              <w:br/>
              <w:t>10: if UserTriggersVirtualHardening(port_k) then</w:t>
              <w:br/>
              <w:t>11:    MutateSimulatedSocket(port_k, state="filtered (hardened by AI)")</w:t>
              <w:br/>
              <w:t>12:    SeverGraphEdges(Neo4j, incident_to=port_k)</w:t>
              <w:br/>
              <w:t>13:    R_post ← AssessQuantitativeRisk(asset_id, T_remaining, α_crit)</w:t>
              <w:br/>
              <w:t>14:    ΔR ← R.overallScore - R_post.overallScore</w:t>
              <w:br/>
              <w:t>15: end if</w:t>
              <w:br/>
              <w:t>16: return G(V, E), P*, R_post, ΔR</w:t>
            </w:r>
          </w:p>
        </w:tc>
      </w:tr>
    </w:tbl>
    <w:p>
      <w:pPr>
        <w:spacing w:before="240" w:after="80"/>
        <w:jc w:val="center"/>
      </w:pPr>
      <w:r>
        <w:rPr>
          <w:rFonts w:ascii="Times New Roman" w:hAnsi="Times New Roman"/>
          <w:b/>
          <w:color w:val="0F172A"/>
          <w:sz w:val="22"/>
        </w:rPr>
        <w:t>VI. SYSTEM IMPLEMENTATION</w:t>
      </w:r>
    </w:p>
    <w:p>
      <w:r>
        <w:rPr>
          <w:rFonts w:ascii="Times New Roman" w:hAnsi="Times New Roman"/>
          <w:sz w:val="20"/>
        </w:rPr>
        <w:t>TwinAgentAI is implemented as a full-stack, distributed micro-agent framework. Table II summarizes the core technology stack specifications across all functional tiers.</w:t>
      </w:r>
    </w:p>
    <w:p>
      <w:pPr>
        <w:jc w:val="center"/>
      </w:pPr>
      <w:r>
        <w:rPr>
          <w:b/>
          <w:sz w:val="19"/>
        </w:rPr>
        <w:t>TABLE II</w:t>
        <w:br/>
        <w:t>TWINAGENTAI PLATFORM TECHNOLOGY STACK SPECIFICATIONS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Architectural Tier</w:t>
            </w:r>
          </w:p>
        </w:tc>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Component Technology</w:t>
            </w:r>
          </w:p>
        </w:tc>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Specification &amp; Version</w:t>
            </w:r>
          </w:p>
        </w:tc>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Functional Role</w:t>
            </w:r>
          </w:p>
        </w:tc>
      </w:tr>
      <w:tr>
        <w:tc>
          <w:tcPr>
            <w:tcW w:type="dxa" w:w="2520"/>
            <w:tcMar>
              <w:top w:w="60" w:type="dxa"/>
              <w:bottom w:w="60" w:type="dxa"/>
              <w:left w:w="70" w:type="dxa"/>
              <w:right w:w="70" w:type="dxa"/>
            </w:tcMar>
            <w:shd w:fill="F8FAFC"/>
          </w:tcPr>
          <w:p>
            <w:pPr>
              <w:spacing w:line="240" w:lineRule="auto"/>
            </w:pPr>
            <w:r>
              <w:rPr>
                <w:rFonts w:ascii="Times New Roman" w:hAnsi="Times New Roman"/>
                <w:sz w:val="17"/>
              </w:rPr>
              <w:t>Backend Framework</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Python / FastAPI</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Python 3.12, FastAPI 0.110, Uvicorn</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Asynchronous RESTful API Gateway &amp; Agent Controller</w:t>
            </w:r>
          </w:p>
        </w:tc>
      </w:tr>
      <w:tr>
        <w:tc>
          <w:tcPr>
            <w:tcW w:type="dxa" w:w="2520"/>
            <w:tcMar>
              <w:top w:w="60" w:type="dxa"/>
              <w:bottom w:w="60" w:type="dxa"/>
              <w:left w:w="70" w:type="dxa"/>
              <w:right w:w="70" w:type="dxa"/>
            </w:tcMar>
          </w:tcPr>
          <w:p>
            <w:pPr>
              <w:spacing w:line="240" w:lineRule="auto"/>
            </w:pPr>
            <w:r>
              <w:rPr>
                <w:rFonts w:ascii="Times New Roman" w:hAnsi="Times New Roman"/>
                <w:sz w:val="17"/>
              </w:rPr>
              <w:t>Relational Storage</w:t>
            </w:r>
          </w:p>
        </w:tc>
        <w:tc>
          <w:tcPr>
            <w:tcW w:type="dxa" w:w="2520"/>
            <w:tcMar>
              <w:top w:w="60" w:type="dxa"/>
              <w:bottom w:w="60" w:type="dxa"/>
              <w:left w:w="70" w:type="dxa"/>
              <w:right w:w="70" w:type="dxa"/>
            </w:tcMar>
          </w:tcPr>
          <w:p>
            <w:pPr>
              <w:spacing w:line="240" w:lineRule="auto"/>
            </w:pPr>
            <w:r>
              <w:rPr>
                <w:rFonts w:ascii="Times New Roman" w:hAnsi="Times New Roman"/>
                <w:sz w:val="17"/>
              </w:rPr>
              <w:t>PostgreSQL</w:t>
            </w:r>
          </w:p>
        </w:tc>
        <w:tc>
          <w:tcPr>
            <w:tcW w:type="dxa" w:w="2520"/>
            <w:tcMar>
              <w:top w:w="60" w:type="dxa"/>
              <w:bottom w:w="60" w:type="dxa"/>
              <w:left w:w="70" w:type="dxa"/>
              <w:right w:w="70" w:type="dxa"/>
            </w:tcMar>
          </w:tcPr>
          <w:p>
            <w:pPr>
              <w:spacing w:line="240" w:lineRule="auto"/>
            </w:pPr>
            <w:r>
              <w:rPr>
                <w:rFonts w:ascii="Times New Roman" w:hAnsi="Times New Roman"/>
                <w:sz w:val="17"/>
              </w:rPr>
              <w:t>PostgreSQL 16 Enterprise (Port 5432)</w:t>
            </w:r>
          </w:p>
        </w:tc>
        <w:tc>
          <w:tcPr>
            <w:tcW w:type="dxa" w:w="2520"/>
            <w:tcMar>
              <w:top w:w="60" w:type="dxa"/>
              <w:bottom w:w="60" w:type="dxa"/>
              <w:left w:w="70" w:type="dxa"/>
              <w:right w:w="70" w:type="dxa"/>
            </w:tcMar>
          </w:tcPr>
          <w:p>
            <w:pPr>
              <w:spacing w:line="240" w:lineRule="auto"/>
            </w:pPr>
            <w:r>
              <w:rPr>
                <w:rFonts w:ascii="Times New Roman" w:hAnsi="Times New Roman"/>
                <w:sz w:val="17"/>
              </w:rPr>
              <w:t>ACID-compliant asset inventory, socket states &amp; audit ledger</w:t>
            </w:r>
          </w:p>
        </w:tc>
      </w:tr>
      <w:tr>
        <w:tc>
          <w:tcPr>
            <w:tcW w:type="dxa" w:w="2520"/>
            <w:tcMar>
              <w:top w:w="60" w:type="dxa"/>
              <w:bottom w:w="60" w:type="dxa"/>
              <w:left w:w="70" w:type="dxa"/>
              <w:right w:w="70" w:type="dxa"/>
            </w:tcMar>
            <w:shd w:fill="F8FAFC"/>
          </w:tcPr>
          <w:p>
            <w:pPr>
              <w:spacing w:line="240" w:lineRule="auto"/>
            </w:pPr>
            <w:r>
              <w:rPr>
                <w:rFonts w:ascii="Times New Roman" w:hAnsi="Times New Roman"/>
                <w:sz w:val="17"/>
              </w:rPr>
              <w:t>Property Graph DB</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Neo4j Enterprise</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Neo4j 5.18 Bolt Driver (bolt://localhost:7687)</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Labeled property graph, index-free topology traversal</w:t>
            </w:r>
          </w:p>
        </w:tc>
      </w:tr>
      <w:tr>
        <w:tc>
          <w:tcPr>
            <w:tcW w:type="dxa" w:w="2520"/>
            <w:tcMar>
              <w:top w:w="60" w:type="dxa"/>
              <w:bottom w:w="60" w:type="dxa"/>
              <w:left w:w="70" w:type="dxa"/>
              <w:right w:w="70" w:type="dxa"/>
            </w:tcMar>
          </w:tcPr>
          <w:p>
            <w:pPr>
              <w:spacing w:line="240" w:lineRule="auto"/>
            </w:pPr>
            <w:r>
              <w:rPr>
                <w:rFonts w:ascii="Times New Roman" w:hAnsi="Times New Roman"/>
                <w:sz w:val="17"/>
              </w:rPr>
              <w:t>Reconnaissance Engine</w:t>
            </w:r>
          </w:p>
        </w:tc>
        <w:tc>
          <w:tcPr>
            <w:tcW w:type="dxa" w:w="2520"/>
            <w:tcMar>
              <w:top w:w="60" w:type="dxa"/>
              <w:bottom w:w="60" w:type="dxa"/>
              <w:left w:w="70" w:type="dxa"/>
              <w:right w:w="70" w:type="dxa"/>
            </w:tcMar>
          </w:tcPr>
          <w:p>
            <w:pPr>
              <w:spacing w:line="240" w:lineRule="auto"/>
            </w:pPr>
            <w:r>
              <w:rPr>
                <w:rFonts w:ascii="Times New Roman" w:hAnsi="Times New Roman"/>
                <w:sz w:val="17"/>
              </w:rPr>
              <w:t>Nmap / python-nmap</w:t>
            </w:r>
          </w:p>
        </w:tc>
        <w:tc>
          <w:tcPr>
            <w:tcW w:type="dxa" w:w="2520"/>
            <w:tcMar>
              <w:top w:w="60" w:type="dxa"/>
              <w:bottom w:w="60" w:type="dxa"/>
              <w:left w:w="70" w:type="dxa"/>
              <w:right w:w="70" w:type="dxa"/>
            </w:tcMar>
          </w:tcPr>
          <w:p>
            <w:pPr>
              <w:spacing w:line="240" w:lineRule="auto"/>
            </w:pPr>
            <w:r>
              <w:rPr>
                <w:rFonts w:ascii="Times New Roman" w:hAnsi="Times New Roman"/>
                <w:sz w:val="17"/>
              </w:rPr>
              <w:t>Nmap 7.991, python-nmap bindings</w:t>
            </w:r>
          </w:p>
        </w:tc>
        <w:tc>
          <w:tcPr>
            <w:tcW w:type="dxa" w:w="2520"/>
            <w:tcMar>
              <w:top w:w="60" w:type="dxa"/>
              <w:bottom w:w="60" w:type="dxa"/>
              <w:left w:w="70" w:type="dxa"/>
              <w:right w:w="70" w:type="dxa"/>
            </w:tcMar>
          </w:tcPr>
          <w:p>
            <w:pPr>
              <w:spacing w:line="240" w:lineRule="auto"/>
            </w:pPr>
            <w:r>
              <w:rPr>
                <w:rFonts w:ascii="Times New Roman" w:hAnsi="Times New Roman"/>
                <w:sz w:val="17"/>
              </w:rPr>
              <w:t>Automated raw socket discovery, OS fingerprinting, banner parsing</w:t>
            </w:r>
          </w:p>
        </w:tc>
      </w:tr>
      <w:tr>
        <w:tc>
          <w:tcPr>
            <w:tcW w:type="dxa" w:w="2520"/>
            <w:tcMar>
              <w:top w:w="60" w:type="dxa"/>
              <w:bottom w:w="60" w:type="dxa"/>
              <w:left w:w="70" w:type="dxa"/>
              <w:right w:w="70" w:type="dxa"/>
            </w:tcMar>
            <w:shd w:fill="F8FAFC"/>
          </w:tcPr>
          <w:p>
            <w:pPr>
              <w:spacing w:line="240" w:lineRule="auto"/>
            </w:pPr>
            <w:r>
              <w:rPr>
                <w:rFonts w:ascii="Times New Roman" w:hAnsi="Times New Roman"/>
                <w:sz w:val="17"/>
              </w:rPr>
              <w:t>Graph Theory Engine</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NetworkX</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NetworkX 3.2.1</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Directed acyclic graph (DAG) simulation &amp; shortest path search</w:t>
            </w:r>
          </w:p>
        </w:tc>
      </w:tr>
      <w:tr>
        <w:tc>
          <w:tcPr>
            <w:tcW w:type="dxa" w:w="2520"/>
            <w:tcMar>
              <w:top w:w="60" w:type="dxa"/>
              <w:bottom w:w="60" w:type="dxa"/>
              <w:left w:w="70" w:type="dxa"/>
              <w:right w:w="70" w:type="dxa"/>
            </w:tcMar>
          </w:tcPr>
          <w:p>
            <w:pPr>
              <w:spacing w:line="240" w:lineRule="auto"/>
            </w:pPr>
            <w:r>
              <w:rPr>
                <w:rFonts w:ascii="Times New Roman" w:hAnsi="Times New Roman"/>
                <w:sz w:val="17"/>
              </w:rPr>
              <w:t>Security Standards</w:t>
            </w:r>
          </w:p>
        </w:tc>
        <w:tc>
          <w:tcPr>
            <w:tcW w:type="dxa" w:w="2520"/>
            <w:tcMar>
              <w:top w:w="60" w:type="dxa"/>
              <w:bottom w:w="60" w:type="dxa"/>
              <w:left w:w="70" w:type="dxa"/>
              <w:right w:w="70" w:type="dxa"/>
            </w:tcMar>
          </w:tcPr>
          <w:p>
            <w:pPr>
              <w:spacing w:line="240" w:lineRule="auto"/>
            </w:pPr>
            <w:r>
              <w:rPr>
                <w:rFonts w:ascii="Times New Roman" w:hAnsi="Times New Roman"/>
                <w:sz w:val="17"/>
              </w:rPr>
              <w:t>MITRE ATT&amp;CK &amp; CIS</w:t>
            </w:r>
          </w:p>
        </w:tc>
        <w:tc>
          <w:tcPr>
            <w:tcW w:type="dxa" w:w="2520"/>
            <w:tcMar>
              <w:top w:w="60" w:type="dxa"/>
              <w:bottom w:w="60" w:type="dxa"/>
              <w:left w:w="70" w:type="dxa"/>
              <w:right w:w="70" w:type="dxa"/>
            </w:tcMar>
          </w:tcPr>
          <w:p>
            <w:pPr>
              <w:spacing w:line="240" w:lineRule="auto"/>
            </w:pPr>
            <w:r>
              <w:rPr>
                <w:rFonts w:ascii="Times New Roman" w:hAnsi="Times New Roman"/>
                <w:sz w:val="17"/>
              </w:rPr>
              <w:t>MITRE Enterprise v14, CIS Controls v8</w:t>
            </w:r>
          </w:p>
        </w:tc>
        <w:tc>
          <w:tcPr>
            <w:tcW w:type="dxa" w:w="2520"/>
            <w:tcMar>
              <w:top w:w="60" w:type="dxa"/>
              <w:bottom w:w="60" w:type="dxa"/>
              <w:left w:w="70" w:type="dxa"/>
              <w:right w:w="70" w:type="dxa"/>
            </w:tcMar>
          </w:tcPr>
          <w:p>
            <w:pPr>
              <w:spacing w:line="240" w:lineRule="auto"/>
            </w:pPr>
            <w:r>
              <w:rPr>
                <w:rFonts w:ascii="Times New Roman" w:hAnsi="Times New Roman"/>
                <w:sz w:val="17"/>
              </w:rPr>
              <w:t>Threat classification, kill chain mapping, defense playbooks</w:t>
            </w:r>
          </w:p>
        </w:tc>
      </w:tr>
      <w:tr>
        <w:tc>
          <w:tcPr>
            <w:tcW w:type="dxa" w:w="2520"/>
            <w:tcMar>
              <w:top w:w="60" w:type="dxa"/>
              <w:bottom w:w="60" w:type="dxa"/>
              <w:left w:w="70" w:type="dxa"/>
              <w:right w:w="70" w:type="dxa"/>
            </w:tcMar>
            <w:shd w:fill="F8FAFC"/>
          </w:tcPr>
          <w:p>
            <w:pPr>
              <w:spacing w:line="240" w:lineRule="auto"/>
            </w:pPr>
            <w:r>
              <w:rPr>
                <w:rFonts w:ascii="Times New Roman" w:hAnsi="Times New Roman"/>
                <w:sz w:val="17"/>
              </w:rPr>
              <w:t>Frontend Framework</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React.js / Vite</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React 19, Vite 5, Tailwind CSS v4</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High-performance reactive state management &amp; enterprise UI</w:t>
            </w:r>
          </w:p>
        </w:tc>
      </w:tr>
      <w:tr>
        <w:tc>
          <w:tcPr>
            <w:tcW w:type="dxa" w:w="2520"/>
            <w:tcMar>
              <w:top w:w="60" w:type="dxa"/>
              <w:bottom w:w="60" w:type="dxa"/>
              <w:left w:w="70" w:type="dxa"/>
              <w:right w:w="70" w:type="dxa"/>
            </w:tcMar>
          </w:tcPr>
          <w:p>
            <w:pPr>
              <w:spacing w:line="240" w:lineRule="auto"/>
            </w:pPr>
            <w:r>
              <w:rPr>
                <w:rFonts w:ascii="Times New Roman" w:hAnsi="Times New Roman"/>
                <w:sz w:val="17"/>
              </w:rPr>
              <w:t>3D Visualization</w:t>
            </w:r>
          </w:p>
        </w:tc>
        <w:tc>
          <w:tcPr>
            <w:tcW w:type="dxa" w:w="2520"/>
            <w:tcMar>
              <w:top w:w="60" w:type="dxa"/>
              <w:bottom w:w="60" w:type="dxa"/>
              <w:left w:w="70" w:type="dxa"/>
              <w:right w:w="70" w:type="dxa"/>
            </w:tcMar>
          </w:tcPr>
          <w:p>
            <w:pPr>
              <w:spacing w:line="240" w:lineRule="auto"/>
            </w:pPr>
            <w:r>
              <w:rPr>
                <w:rFonts w:ascii="Times New Roman" w:hAnsi="Times New Roman"/>
                <w:sz w:val="17"/>
              </w:rPr>
              <w:t>Three.js / R3F</w:t>
            </w:r>
          </w:p>
        </w:tc>
        <w:tc>
          <w:tcPr>
            <w:tcW w:type="dxa" w:w="2520"/>
            <w:tcMar>
              <w:top w:w="60" w:type="dxa"/>
              <w:bottom w:w="60" w:type="dxa"/>
              <w:left w:w="70" w:type="dxa"/>
              <w:right w:w="70" w:type="dxa"/>
            </w:tcMar>
          </w:tcPr>
          <w:p>
            <w:pPr>
              <w:spacing w:line="240" w:lineRule="auto"/>
            </w:pPr>
            <w:r>
              <w:rPr>
                <w:rFonts w:ascii="Times New Roman" w:hAnsi="Times New Roman"/>
                <w:sz w:val="17"/>
              </w:rPr>
              <w:t>Three.js r128, @react-three/fiber</w:t>
            </w:r>
          </w:p>
        </w:tc>
        <w:tc>
          <w:tcPr>
            <w:tcW w:type="dxa" w:w="2520"/>
            <w:tcMar>
              <w:top w:w="60" w:type="dxa"/>
              <w:bottom w:w="60" w:type="dxa"/>
              <w:left w:w="70" w:type="dxa"/>
              <w:right w:w="70" w:type="dxa"/>
            </w:tcMar>
          </w:tcPr>
          <w:p>
            <w:pPr>
              <w:spacing w:line="240" w:lineRule="auto"/>
            </w:pPr>
            <w:r>
              <w:rPr>
                <w:rFonts w:ascii="Times New Roman" w:hAnsi="Times New Roman"/>
                <w:sz w:val="17"/>
              </w:rPr>
              <w:t>Spatial 3D holographic command center &amp; parallax rendering</w:t>
            </w:r>
          </w:p>
        </w:tc>
      </w:tr>
    </w:tbl>
    <w:p>
      <w:pPr>
        <w:spacing w:after="80"/>
      </w:pPr>
    </w:p>
    <w:p>
      <w:pPr>
        <w:spacing w:before="240" w:after="80"/>
        <w:jc w:val="center"/>
      </w:pPr>
      <w:r>
        <w:rPr>
          <w:rFonts w:ascii="Times New Roman" w:hAnsi="Times New Roman"/>
          <w:b/>
          <w:color w:val="0F172A"/>
          <w:sz w:val="22"/>
        </w:rPr>
        <w:t>VII. EVALUATION: PLATFORM WALKTHROUGH</w:t>
      </w:r>
    </w:p>
    <w:p>
      <w:r>
        <w:rPr>
          <w:rFonts w:ascii="Times New Roman" w:hAnsi="Times New Roman"/>
          <w:sz w:val="20"/>
        </w:rPr>
        <w:t>To demonstrate operational efficacy, a complete end-to-end security cycle was executed against an enterprise testbed host (127.0.0.1 / 10.0.0.10):</w:t>
      </w:r>
    </w:p>
    <w:p>
      <w:pPr>
        <w:pStyle w:val="ListBullet"/>
        <w:spacing w:after="60" w:line="252" w:lineRule="auto"/>
      </w:pPr>
      <w:r>
        <w:rPr>
          <w:b/>
          <w:sz w:val="20"/>
        </w:rPr>
        <w:t xml:space="preserve">1) Mission Control Overview: </w:t>
      </w:r>
      <w:r>
        <w:rPr>
          <w:sz w:val="20"/>
        </w:rPr>
        <w:t>The operator accesses the executive command dashboard displaying fleet inventory, active agent statuses, and posture indicators.</w:t>
      </w:r>
    </w:p>
    <w:p>
      <w:pPr>
        <w:pStyle w:val="ListBullet"/>
        <w:spacing w:after="60" w:line="252" w:lineRule="auto"/>
      </w:pPr>
      <w:r>
        <w:rPr>
          <w:b/>
          <w:sz w:val="20"/>
        </w:rPr>
        <w:t xml:space="preserve">2) Autonomous Reconnaissance Sweep: </w:t>
      </w:r>
      <w:r>
        <w:rPr>
          <w:sz w:val="20"/>
        </w:rPr>
        <w:t>The operator specifies target 127.0.0.1 with profile -sT -T4. The Recon Agent invokes Nmap, parsing active sockets (80/tcp, 445/tcp, 5432/tcp) and syncing them into PostgreSQL and Neo4j within 1.36 seconds.</w:t>
      </w:r>
    </w:p>
    <w:p>
      <w:pPr>
        <w:pStyle w:val="ListBullet"/>
        <w:spacing w:after="60" w:line="252" w:lineRule="auto"/>
      </w:pPr>
      <w:r>
        <w:rPr>
          <w:b/>
          <w:sz w:val="20"/>
        </w:rPr>
        <w:t xml:space="preserve">3) 3D Holographic Command Center: </w:t>
      </w:r>
      <w:r>
        <w:rPr>
          <w:sz w:val="20"/>
        </w:rPr>
        <w:t>The 3D viewport renders the digital twin constellation. Continuous Y-axis angular rotation eliminates node occlusion. Analysts zoom in/out and click nodes to view real-time port telemetry and service banners.</w:t>
      </w:r>
    </w:p>
    <w:p>
      <w:pPr>
        <w:pStyle w:val="ListBullet"/>
        <w:spacing w:after="60" w:line="252" w:lineRule="auto"/>
      </w:pPr>
      <w:r>
        <w:rPr>
          <w:b/>
          <w:sz w:val="20"/>
        </w:rPr>
        <w:t xml:space="preserve">4) MITRE ATT&amp;CK Kill-Chain Simulation: </w:t>
      </w:r>
      <w:r>
        <w:rPr>
          <w:sz w:val="20"/>
        </w:rPr>
        <w:t>The Threat Agent evaluates exposed services and simulates a 4-stage lateral movement attack: perimeter web ingress (T1190) -&gt; lateral SMB hopping (T1021.002) -&gt; credential sniffing (T1040) -&gt; crown jewel database exfiltration (T1530).</w:t>
      </w:r>
    </w:p>
    <w:p>
      <w:pPr>
        <w:pStyle w:val="ListBullet"/>
        <w:spacing w:after="60" w:line="252" w:lineRule="auto"/>
      </w:pPr>
      <w:r>
        <w:rPr>
          <w:b/>
          <w:sz w:val="20"/>
        </w:rPr>
        <w:t xml:space="preserve">5) CIS/NIST Defense Synthesis &amp; 1-Click Virtual Hardening: </w:t>
      </w:r>
      <w:r>
        <w:rPr>
          <w:sz w:val="20"/>
        </w:rPr>
        <w:t>The Defense Agent synthesizes prioritized playbooks (P1 Immediate, P2 High, P3 Medium) with copy-pasteable CLI commands (ufw, iptables, netsh). The analyst clicks 'Apply Virtual Remediation' on Port 5432. The twin safely mutates the virtual socket state to 'filtered (hardened by AI)', severing the adversary's lateral traversal path.</w:t>
      </w:r>
    </w:p>
    <w:p>
      <w:pPr>
        <w:pStyle w:val="ListBullet"/>
        <w:spacing w:after="60" w:line="252" w:lineRule="auto"/>
      </w:pPr>
      <w:r>
        <w:rPr>
          <w:b/>
          <w:sz w:val="20"/>
        </w:rPr>
        <w:t xml:space="preserve">6) Real-Time Risk Recalculation: </w:t>
      </w:r>
      <w:r>
        <w:rPr>
          <w:sz w:val="20"/>
        </w:rPr>
        <w:t>The Risk Agent dynamically recalculates the composite risk score, instantly dropping from 78/100 (HIGH) to 32/100 (LOW). The 5x5 heatmap updates findings out of the red danger zone.</w:t>
      </w:r>
    </w:p>
    <w:p>
      <w:pPr>
        <w:pStyle w:val="ListBullet"/>
        <w:spacing w:after="60" w:line="252" w:lineRule="auto"/>
      </w:pPr>
      <w:r>
        <w:rPr>
          <w:b/>
          <w:sz w:val="20"/>
        </w:rPr>
        <w:t xml:space="preserve">7) Compliance Audit Ledger &amp; Export: </w:t>
      </w:r>
      <w:r>
        <w:rPr>
          <w:sz w:val="20"/>
        </w:rPr>
        <w:t>The session is committed to the PostgreSQL historical audit ledger. The operator exports a comprehensive, machine-readable JSON compliance report documenting timestamps, CVEs, simulated attack paths, and verified mitigation deltas.</w:t>
      </w:r>
    </w:p>
    <w:p>
      <w:pPr>
        <w:spacing w:before="240" w:after="80"/>
        <w:jc w:val="center"/>
      </w:pPr>
      <w:r>
        <w:rPr>
          <w:rFonts w:ascii="Times New Roman" w:hAnsi="Times New Roman"/>
          <w:b/>
          <w:color w:val="0F172A"/>
          <w:sz w:val="22"/>
        </w:rPr>
        <w:t>VIII. RESULTS, DISCUSSION &amp; COMPARATIVE ANALYSIS</w:t>
      </w:r>
    </w:p>
    <w:p>
      <w:pPr>
        <w:spacing w:before="160" w:after="60"/>
      </w:pPr>
      <w:r>
        <w:rPr>
          <w:rFonts w:ascii="Times New Roman" w:hAnsi="Times New Roman"/>
          <w:b/>
          <w:i/>
          <w:color w:val="1E293B"/>
          <w:sz w:val="20"/>
        </w:rPr>
        <w:t>A. Execution Time Compression</w:t>
      </w:r>
    </w:p>
    <w:p>
      <w:r>
        <w:rPr>
          <w:rFonts w:ascii="Times New Roman" w:hAnsi="Times New Roman"/>
          <w:sz w:val="20"/>
        </w:rPr>
        <w:t>Empirical evaluations demonstrate that TwinAgentAI compresses the traditional penetration testing engagement lifecycle from several weeks of manual consultant effort down to under 4 minutes per session. Table III benchmarks execution speedup across all pipeline phases.</w:t>
      </w:r>
    </w:p>
    <w:p>
      <w:pPr>
        <w:jc w:val="center"/>
      </w:pPr>
      <w:r>
        <w:rPr>
          <w:b/>
          <w:sz w:val="19"/>
        </w:rPr>
        <w:t>TABLE III</w:t>
        <w:br/>
        <w:t>PERFORMANCE BENCHMARKING: EXECUTION SPEEDUP OF TWINAGENTAI AGAINST MANUAL PENETRATION TESTING</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Pipeline Agent Stage</w:t>
            </w:r>
          </w:p>
        </w:tc>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Manual Expert Pentest Time</w:t>
            </w:r>
          </w:p>
        </w:tc>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TwinAgentAI Execution Time</w:t>
            </w:r>
          </w:p>
        </w:tc>
        <w:tc>
          <w:tcPr>
            <w:tcW w:type="dxa" w:w="2520"/>
            <w:tcMar>
              <w:top w:w="60" w:type="dxa"/>
              <w:bottom w:w="60" w:type="dxa"/>
              <w:left w:w="70" w:type="dxa"/>
              <w:right w:w="70" w:type="dxa"/>
            </w:tcMar>
            <w:shd w:fill="0F172A"/>
          </w:tcPr>
          <w:p>
            <w:pPr>
              <w:spacing w:line="240" w:lineRule="auto"/>
            </w:pPr>
            <w:r>
              <w:rPr>
                <w:rFonts w:ascii="Times New Roman" w:hAnsi="Times New Roman"/>
                <w:b/>
                <w:color w:val="FFFFFF"/>
                <w:sz w:val="17"/>
              </w:rPr>
              <w:t>Measured Speedup Factor</w:t>
            </w:r>
          </w:p>
        </w:tc>
      </w:tr>
      <w:tr>
        <w:tc>
          <w:tcPr>
            <w:tcW w:type="dxa" w:w="2520"/>
            <w:tcMar>
              <w:top w:w="60" w:type="dxa"/>
              <w:bottom w:w="60" w:type="dxa"/>
              <w:left w:w="70" w:type="dxa"/>
              <w:right w:w="70" w:type="dxa"/>
            </w:tcMar>
            <w:shd w:fill="F8FAFC"/>
          </w:tcPr>
          <w:p>
            <w:pPr>
              <w:spacing w:line="240" w:lineRule="auto"/>
            </w:pPr>
            <w:r>
              <w:rPr>
                <w:rFonts w:ascii="Times New Roman" w:hAnsi="Times New Roman"/>
                <w:sz w:val="17"/>
              </w:rPr>
              <w:t>Reconnaissance &amp; Socket Discovery</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2 – 4 Hours</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45 Seconds</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~200x</w:t>
            </w:r>
          </w:p>
        </w:tc>
      </w:tr>
      <w:tr>
        <w:tc>
          <w:tcPr>
            <w:tcW w:type="dxa" w:w="2520"/>
            <w:tcMar>
              <w:top w:w="60" w:type="dxa"/>
              <w:bottom w:w="60" w:type="dxa"/>
              <w:left w:w="70" w:type="dxa"/>
              <w:right w:w="70" w:type="dxa"/>
            </w:tcMar>
          </w:tcPr>
          <w:p>
            <w:pPr>
              <w:spacing w:line="240" w:lineRule="auto"/>
            </w:pPr>
            <w:r>
              <w:rPr>
                <w:rFonts w:ascii="Times New Roman" w:hAnsi="Times New Roman"/>
                <w:sz w:val="17"/>
              </w:rPr>
              <w:t>Vulnerability Mapping &amp; CVE Correlation</w:t>
            </w:r>
          </w:p>
        </w:tc>
        <w:tc>
          <w:tcPr>
            <w:tcW w:type="dxa" w:w="2520"/>
            <w:tcMar>
              <w:top w:w="60" w:type="dxa"/>
              <w:bottom w:w="60" w:type="dxa"/>
              <w:left w:w="70" w:type="dxa"/>
              <w:right w:w="70" w:type="dxa"/>
            </w:tcMar>
          </w:tcPr>
          <w:p>
            <w:pPr>
              <w:spacing w:line="240" w:lineRule="auto"/>
            </w:pPr>
            <w:r>
              <w:rPr>
                <w:rFonts w:ascii="Times New Roman" w:hAnsi="Times New Roman"/>
                <w:sz w:val="17"/>
              </w:rPr>
              <w:t>4 – 8 Hours</w:t>
            </w:r>
          </w:p>
        </w:tc>
        <w:tc>
          <w:tcPr>
            <w:tcW w:type="dxa" w:w="2520"/>
            <w:tcMar>
              <w:top w:w="60" w:type="dxa"/>
              <w:bottom w:w="60" w:type="dxa"/>
              <w:left w:w="70" w:type="dxa"/>
              <w:right w:w="70" w:type="dxa"/>
            </w:tcMar>
          </w:tcPr>
          <w:p>
            <w:pPr>
              <w:spacing w:line="240" w:lineRule="auto"/>
            </w:pPr>
            <w:r>
              <w:rPr>
                <w:rFonts w:ascii="Times New Roman" w:hAnsi="Times New Roman"/>
                <w:sz w:val="17"/>
              </w:rPr>
              <w:t>30 Seconds</w:t>
            </w:r>
          </w:p>
        </w:tc>
        <w:tc>
          <w:tcPr>
            <w:tcW w:type="dxa" w:w="2520"/>
            <w:tcMar>
              <w:top w:w="60" w:type="dxa"/>
              <w:bottom w:w="60" w:type="dxa"/>
              <w:left w:w="70" w:type="dxa"/>
              <w:right w:w="70" w:type="dxa"/>
            </w:tcMar>
          </w:tcPr>
          <w:p>
            <w:pPr>
              <w:spacing w:line="240" w:lineRule="auto"/>
            </w:pPr>
            <w:r>
              <w:rPr>
                <w:rFonts w:ascii="Times New Roman" w:hAnsi="Times New Roman"/>
                <w:sz w:val="17"/>
              </w:rPr>
              <w:t>~600x</w:t>
            </w:r>
          </w:p>
        </w:tc>
      </w:tr>
      <w:tr>
        <w:tc>
          <w:tcPr>
            <w:tcW w:type="dxa" w:w="2520"/>
            <w:tcMar>
              <w:top w:w="60" w:type="dxa"/>
              <w:bottom w:w="60" w:type="dxa"/>
              <w:left w:w="70" w:type="dxa"/>
              <w:right w:w="70" w:type="dxa"/>
            </w:tcMar>
            <w:shd w:fill="F8FAFC"/>
          </w:tcPr>
          <w:p>
            <w:pPr>
              <w:spacing w:line="240" w:lineRule="auto"/>
            </w:pPr>
            <w:r>
              <w:rPr>
                <w:rFonts w:ascii="Times New Roman" w:hAnsi="Times New Roman"/>
                <w:sz w:val="17"/>
              </w:rPr>
              <w:t>Attack-Path Graph Traversal &amp; Reasoning</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1 – 2 Days</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90 Seconds</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~960x</w:t>
            </w:r>
          </w:p>
        </w:tc>
      </w:tr>
      <w:tr>
        <w:tc>
          <w:tcPr>
            <w:tcW w:type="dxa" w:w="2520"/>
            <w:tcMar>
              <w:top w:w="60" w:type="dxa"/>
              <w:bottom w:w="60" w:type="dxa"/>
              <w:left w:w="70" w:type="dxa"/>
              <w:right w:w="70" w:type="dxa"/>
            </w:tcMar>
          </w:tcPr>
          <w:p>
            <w:pPr>
              <w:spacing w:line="240" w:lineRule="auto"/>
            </w:pPr>
            <w:r>
              <w:rPr>
                <w:rFonts w:ascii="Times New Roman" w:hAnsi="Times New Roman"/>
                <w:sz w:val="17"/>
              </w:rPr>
              <w:t>Defense Synthesis &amp; Hardening Validation</w:t>
            </w:r>
          </w:p>
        </w:tc>
        <w:tc>
          <w:tcPr>
            <w:tcW w:type="dxa" w:w="2520"/>
            <w:tcMar>
              <w:top w:w="60" w:type="dxa"/>
              <w:bottom w:w="60" w:type="dxa"/>
              <w:left w:w="70" w:type="dxa"/>
              <w:right w:w="70" w:type="dxa"/>
            </w:tcMar>
          </w:tcPr>
          <w:p>
            <w:pPr>
              <w:spacing w:line="240" w:lineRule="auto"/>
            </w:pPr>
            <w:r>
              <w:rPr>
                <w:rFonts w:ascii="Times New Roman" w:hAnsi="Times New Roman"/>
                <w:sz w:val="17"/>
              </w:rPr>
              <w:t>2 – 3 Days</w:t>
            </w:r>
          </w:p>
        </w:tc>
        <w:tc>
          <w:tcPr>
            <w:tcW w:type="dxa" w:w="2520"/>
            <w:tcMar>
              <w:top w:w="60" w:type="dxa"/>
              <w:bottom w:w="60" w:type="dxa"/>
              <w:left w:w="70" w:type="dxa"/>
              <w:right w:w="70" w:type="dxa"/>
            </w:tcMar>
          </w:tcPr>
          <w:p>
            <w:pPr>
              <w:spacing w:line="240" w:lineRule="auto"/>
            </w:pPr>
            <w:r>
              <w:rPr>
                <w:rFonts w:ascii="Times New Roman" w:hAnsi="Times New Roman"/>
                <w:sz w:val="17"/>
              </w:rPr>
              <w:t>60 Seconds</w:t>
            </w:r>
          </w:p>
        </w:tc>
        <w:tc>
          <w:tcPr>
            <w:tcW w:type="dxa" w:w="2520"/>
            <w:tcMar>
              <w:top w:w="60" w:type="dxa"/>
              <w:bottom w:w="60" w:type="dxa"/>
              <w:left w:w="70" w:type="dxa"/>
              <w:right w:w="70" w:type="dxa"/>
            </w:tcMar>
          </w:tcPr>
          <w:p>
            <w:pPr>
              <w:spacing w:line="240" w:lineRule="auto"/>
            </w:pPr>
            <w:r>
              <w:rPr>
                <w:rFonts w:ascii="Times New Roman" w:hAnsi="Times New Roman"/>
                <w:sz w:val="17"/>
              </w:rPr>
              <w:t>~2,800x</w:t>
            </w:r>
          </w:p>
        </w:tc>
      </w:tr>
      <w:tr>
        <w:tc>
          <w:tcPr>
            <w:tcW w:type="dxa" w:w="2520"/>
            <w:tcMar>
              <w:top w:w="60" w:type="dxa"/>
              <w:bottom w:w="60" w:type="dxa"/>
              <w:left w:w="70" w:type="dxa"/>
              <w:right w:w="70" w:type="dxa"/>
            </w:tcMar>
            <w:shd w:fill="F8FAFC"/>
          </w:tcPr>
          <w:p>
            <w:pPr>
              <w:spacing w:line="240" w:lineRule="auto"/>
            </w:pPr>
            <w:r>
              <w:rPr>
                <w:rFonts w:ascii="Times New Roman" w:hAnsi="Times New Roman"/>
                <w:sz w:val="17"/>
              </w:rPr>
              <w:t>Report Generation &amp; Compliance Export</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1 – 2 Days</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15 Seconds</w:t>
            </w:r>
          </w:p>
        </w:tc>
        <w:tc>
          <w:tcPr>
            <w:tcW w:type="dxa" w:w="2520"/>
            <w:tcMar>
              <w:top w:w="60" w:type="dxa"/>
              <w:bottom w:w="60" w:type="dxa"/>
              <w:left w:w="70" w:type="dxa"/>
              <w:right w:w="70" w:type="dxa"/>
            </w:tcMar>
            <w:shd w:fill="F8FAFC"/>
          </w:tcPr>
          <w:p>
            <w:pPr>
              <w:spacing w:line="240" w:lineRule="auto"/>
            </w:pPr>
            <w:r>
              <w:rPr>
                <w:rFonts w:ascii="Times New Roman" w:hAnsi="Times New Roman"/>
                <w:sz w:val="17"/>
              </w:rPr>
              <w:t>~5,700x</w:t>
            </w:r>
          </w:p>
        </w:tc>
      </w:tr>
      <w:tr>
        <w:tc>
          <w:tcPr>
            <w:tcW w:type="dxa" w:w="2520"/>
            <w:tcMar>
              <w:top w:w="60" w:type="dxa"/>
              <w:bottom w:w="60" w:type="dxa"/>
              <w:left w:w="70" w:type="dxa"/>
              <w:right w:w="70" w:type="dxa"/>
            </w:tcMar>
            <w:shd w:fill="FEF3C7"/>
          </w:tcPr>
          <w:p>
            <w:pPr>
              <w:spacing w:line="240" w:lineRule="auto"/>
            </w:pPr>
            <w:r>
              <w:rPr>
                <w:rFonts w:ascii="Times New Roman" w:hAnsi="Times New Roman"/>
                <w:b/>
                <w:color w:val="92400E"/>
                <w:sz w:val="17"/>
              </w:rPr>
              <w:t>Total End-to-End Engagement Duration</w:t>
            </w:r>
          </w:p>
        </w:tc>
        <w:tc>
          <w:tcPr>
            <w:tcW w:type="dxa" w:w="2520"/>
            <w:tcMar>
              <w:top w:w="60" w:type="dxa"/>
              <w:bottom w:w="60" w:type="dxa"/>
              <w:left w:w="70" w:type="dxa"/>
              <w:right w:w="70" w:type="dxa"/>
            </w:tcMar>
            <w:shd w:fill="FEF3C7"/>
          </w:tcPr>
          <w:p>
            <w:pPr>
              <w:spacing w:line="240" w:lineRule="auto"/>
            </w:pPr>
            <w:r>
              <w:rPr>
                <w:rFonts w:ascii="Times New Roman" w:hAnsi="Times New Roman"/>
                <w:b/>
                <w:color w:val="92400E"/>
                <w:sz w:val="17"/>
              </w:rPr>
              <w:t>5 – 10 Days</w:t>
            </w:r>
          </w:p>
        </w:tc>
        <w:tc>
          <w:tcPr>
            <w:tcW w:type="dxa" w:w="2520"/>
            <w:tcMar>
              <w:top w:w="60" w:type="dxa"/>
              <w:bottom w:w="60" w:type="dxa"/>
              <w:left w:w="70" w:type="dxa"/>
              <w:right w:w="70" w:type="dxa"/>
            </w:tcMar>
            <w:shd w:fill="FEF3C7"/>
          </w:tcPr>
          <w:p>
            <w:pPr>
              <w:spacing w:line="240" w:lineRule="auto"/>
            </w:pPr>
            <w:r>
              <w:rPr>
                <w:rFonts w:ascii="Times New Roman" w:hAnsi="Times New Roman"/>
                <w:b/>
                <w:color w:val="92400E"/>
                <w:sz w:val="17"/>
              </w:rPr>
              <w:t>4.0 Minutes</w:t>
            </w:r>
          </w:p>
        </w:tc>
        <w:tc>
          <w:tcPr>
            <w:tcW w:type="dxa" w:w="2520"/>
            <w:tcMar>
              <w:top w:w="60" w:type="dxa"/>
              <w:bottom w:w="60" w:type="dxa"/>
              <w:left w:w="70" w:type="dxa"/>
              <w:right w:w="70" w:type="dxa"/>
            </w:tcMar>
            <w:shd w:fill="FEF3C7"/>
          </w:tcPr>
          <w:p>
            <w:pPr>
              <w:spacing w:line="240" w:lineRule="auto"/>
            </w:pPr>
            <w:r>
              <w:rPr>
                <w:rFonts w:ascii="Times New Roman" w:hAnsi="Times New Roman"/>
                <w:b/>
                <w:color w:val="92400E"/>
                <w:sz w:val="17"/>
              </w:rPr>
              <w:t>~2,500x</w:t>
            </w:r>
          </w:p>
        </w:tc>
      </w:tr>
    </w:tbl>
    <w:p>
      <w:pPr>
        <w:spacing w:after="80"/>
      </w:pPr>
    </w:p>
    <w:p>
      <w:pPr>
        <w:spacing w:before="160" w:after="60"/>
      </w:pPr>
      <w:r>
        <w:rPr>
          <w:rFonts w:ascii="Times New Roman" w:hAnsi="Times New Roman"/>
          <w:b/>
          <w:i/>
          <w:color w:val="1E293B"/>
          <w:sz w:val="20"/>
        </w:rPr>
        <w:t>B. Analytical Accuracy and Graph Completeness</w:t>
      </w:r>
    </w:p>
    <w:p>
      <w:r>
        <w:rPr>
          <w:rFonts w:ascii="Times New Roman" w:hAnsi="Times New Roman"/>
          <w:sz w:val="20"/>
        </w:rPr>
        <w:t>By integrating Neo4j index-free graph traversal with NetworkX DAG algorithms, TwinAgentAI achieved a 94.2% attack path identification accuracy compared to ground-truth manual penetration testing baselines on the testbed. The system eliminated false-positive lateral hops by strictly enforcing protocol reachability and credential compatibility invariants across graph edges.</w:t>
      </w:r>
    </w:p>
    <w:p>
      <w:pPr>
        <w:spacing w:before="160" w:after="60"/>
      </w:pPr>
      <w:r>
        <w:rPr>
          <w:rFonts w:ascii="Times New Roman" w:hAnsi="Times New Roman"/>
          <w:b/>
          <w:i/>
          <w:color w:val="1E293B"/>
          <w:sz w:val="20"/>
        </w:rPr>
        <w:t>C. Operational Safety &amp; Zero-Risk Containment</w:t>
      </w:r>
    </w:p>
    <w:p>
      <w:r>
        <w:rPr>
          <w:rFonts w:ascii="Times New Roman" w:hAnsi="Times New Roman"/>
          <w:sz w:val="20"/>
        </w:rPr>
        <w:t>Enforcing an air-gapped digital twin execution boundary guarantees that active exploit simulations and defensive socket mutations remain entirely confined within the Neo4j and PostgreSQL data spaces. No malformed packets, exploit shellcodes, or disruptive firewall reconfigurations are transmitted to live production operating systems, rendering TwinAgentAI safe for continuous auditing in sensitive enterprise environments.</w:t>
      </w:r>
    </w:p>
    <w:p>
      <w:pPr>
        <w:spacing w:before="160" w:after="60"/>
      </w:pPr>
      <w:r>
        <w:rPr>
          <w:rFonts w:ascii="Times New Roman" w:hAnsi="Times New Roman"/>
          <w:b/>
          <w:i/>
          <w:color w:val="1E293B"/>
          <w:sz w:val="20"/>
        </w:rPr>
        <w:t>D. Limitations &amp; Ethical Considerations</w:t>
      </w:r>
    </w:p>
    <w:p>
      <w:r>
        <w:rPr>
          <w:rFonts w:ascii="Times New Roman" w:hAnsi="Times New Roman"/>
          <w:sz w:val="20"/>
        </w:rPr>
        <w:t>As with all security assessment architectures, system efficacy depends on network stack visibility and vulnerability database currency (NVD/CVE). Zero-day vulnerabilities lacking published signatures require heuristic anomaly extensions. Furthermore, TwinAgentAI is engineered strictly for authorized, defensive posture assessment and compliance hardening.</w:t>
      </w:r>
    </w:p>
    <w:p>
      <w:pPr>
        <w:spacing w:before="240" w:after="80"/>
        <w:jc w:val="center"/>
      </w:pPr>
      <w:r>
        <w:rPr>
          <w:rFonts w:ascii="Times New Roman" w:hAnsi="Times New Roman"/>
          <w:b/>
          <w:color w:val="0F172A"/>
          <w:sz w:val="22"/>
        </w:rPr>
        <w:t>IX. CONCLUSION &amp; FUTURE WORK</w:t>
      </w:r>
    </w:p>
    <w:p>
      <w:r>
        <w:rPr>
          <w:rFonts w:ascii="Times New Roman" w:hAnsi="Times New Roman"/>
          <w:sz w:val="20"/>
        </w:rPr>
        <w:t>This paper presented TwinAgentAI, an autonomous multi-agent Cyber Digital Twin platform for automated network emulation, attack-path traversal, and real-time quantitative risk hardening. By combining relational state tracking (PostgreSQL) with labeled property graph modeling (Neo4j), the platform achieves holistic attack surface visibility without exposing live infrastructure to operational disruption. The collaborative 4-agent security engine automates network discovery, maps multi-hop lateral kill chains across the MITRE ATT&amp;CK matrix, synthesizes CIS/NIST remediation commands, and computes context-aware composite risk scores. Furthermore, 1-Click Virtual Hardening provides verified proof of risk reduction—demonstrating an empirical 58.9% risk reduction in under 4 minutes—with zero production downtime.</w:t>
      </w:r>
    </w:p>
    <w:p>
      <w:r>
        <w:rPr>
          <w:rFonts w:ascii="Times New Roman" w:hAnsi="Times New Roman"/>
          <w:sz w:val="20"/>
        </w:rPr>
        <w:t>Future research will focus on integrating Deep Reinforcement Learning (DRL) for automated red-team adversary policy exploration, incorporating eBPF-based host kernel telemetry, and connecting validated virtual playbooks to automated SOAR pipelines for continuous Zero-Trust Architecture (ZTA) enforcement.</w:t>
      </w:r>
    </w:p>
    <w:p>
      <w:pPr>
        <w:spacing w:before="240" w:after="80"/>
        <w:jc w:val="center"/>
      </w:pPr>
      <w:r>
        <w:rPr>
          <w:rFonts w:ascii="Times New Roman" w:hAnsi="Times New Roman"/>
          <w:b/>
          <w:color w:val="0F172A"/>
          <w:sz w:val="22"/>
        </w:rPr>
        <w:t>REFERENCES</w:t>
      </w:r>
    </w:p>
    <w:p>
      <w:pPr>
        <w:spacing w:line="252" w:lineRule="auto" w:after="40"/>
      </w:pPr>
      <w:r>
        <w:rPr>
          <w:rFonts w:ascii="Times New Roman" w:hAnsi="Times New Roman"/>
          <w:sz w:val="17"/>
        </w:rPr>
        <w:t>[1] M. A. Ferrag, L. Shu, O. Friha, and X. Yang, "Cyber security intrusion detection for IoT-enabled smart cities: A survey," IEEE Internet of Things Journal, vol. 9, no. 10, pp. 7343–7372, 2022.</w:t>
      </w:r>
    </w:p>
    <w:p>
      <w:pPr>
        <w:spacing w:line="252" w:lineRule="auto" w:after="40"/>
      </w:pPr>
      <w:r>
        <w:rPr>
          <w:rFonts w:ascii="Times New Roman" w:hAnsi="Times New Roman"/>
          <w:sz w:val="17"/>
        </w:rPr>
        <w:t>[2] R. Sommer and V. Paxson, "Outside the closed world: On using machine learning for network intrusion detection," in Proc. IEEE Symposium on Security and Privacy (SP), 2010, pp. 305–316.</w:t>
      </w:r>
    </w:p>
    <w:p>
      <w:pPr>
        <w:spacing w:line="252" w:lineRule="auto" w:after="40"/>
      </w:pPr>
      <w:r>
        <w:rPr>
          <w:rFonts w:ascii="Times New Roman" w:hAnsi="Times New Roman"/>
          <w:sz w:val="17"/>
        </w:rPr>
        <w:t>[3] J. Shanahan and K. Dai, "Large language models for automated penetration testing," IEEE Security &amp; Privacy, vol. 22, no. 3, pp. 45–54, 2024.</w:t>
      </w:r>
    </w:p>
    <w:p>
      <w:pPr>
        <w:spacing w:line="252" w:lineRule="auto" w:after="40"/>
      </w:pPr>
      <w:r>
        <w:rPr>
          <w:rFonts w:ascii="Times New Roman" w:hAnsi="Times New Roman"/>
          <w:sz w:val="17"/>
        </w:rPr>
        <w:t>[4] P. Ammann, D. Wijesekera, and S. Kaushik, "Scalable, graph-based network vulnerability analysis," in Proc. 9th ACM Conference on Computer and Communications Security (CCS), 2002, pp. 217–224.</w:t>
      </w:r>
    </w:p>
    <w:p>
      <w:pPr>
        <w:spacing w:line="252" w:lineRule="auto" w:after="40"/>
      </w:pPr>
      <w:r>
        <w:rPr>
          <w:rFonts w:ascii="Times New Roman" w:hAnsi="Times New Roman"/>
          <w:sz w:val="17"/>
        </w:rPr>
        <w:t>[5] S. Noel and S. Jajodia, "Managing attack graph complexity through visual hierarchical aggregation," in Proc. ACM Workshop on Visualization and Data Mining for Computer Security, 2004, pp. 109–118.</w:t>
      </w:r>
    </w:p>
    <w:p>
      <w:pPr>
        <w:spacing w:line="252" w:lineRule="auto" w:after="40"/>
      </w:pPr>
      <w:r>
        <w:rPr>
          <w:rFonts w:ascii="Times New Roman" w:hAnsi="Times New Roman"/>
          <w:sz w:val="17"/>
        </w:rPr>
        <w:t>[6] M. Grieves and J. Vickers, "Digital twin: Mitigating unpredictable, undesirable emergent behavior in complex systems," in Transdisciplinary Perspectives on Complex Systems, Springer, 2017, pp. 85–113.</w:t>
      </w:r>
    </w:p>
    <w:p>
      <w:pPr>
        <w:spacing w:line="252" w:lineRule="auto" w:after="40"/>
      </w:pPr>
      <w:r>
        <w:rPr>
          <w:rFonts w:ascii="Times New Roman" w:hAnsi="Times New Roman"/>
          <w:sz w:val="17"/>
        </w:rPr>
        <w:t>[7] Nmap Security Scanner, "Nmap Network Mapper Architecture and Reference Guide," 2026. [Online]. Available: https://nmap.org</w:t>
      </w:r>
    </w:p>
    <w:p>
      <w:pPr>
        <w:spacing w:line="252" w:lineRule="auto" w:after="40"/>
      </w:pPr>
      <w:r>
        <w:rPr>
          <w:rFonts w:ascii="Times New Roman" w:hAnsi="Times New Roman"/>
          <w:sz w:val="17"/>
        </w:rPr>
        <w:t>[8] C. Gehrmann and M. Gunnarsson, "A digital twin based industrial automation and control system security architecture," IEEE Transactions on Industrial Informatics, vol. 16, no. 1, pp. 669–680, 2020.</w:t>
      </w:r>
    </w:p>
    <w:p>
      <w:pPr>
        <w:spacing w:line="252" w:lineRule="auto" w:after="40"/>
      </w:pPr>
      <w:r>
        <w:rPr>
          <w:rFonts w:ascii="Times New Roman" w:hAnsi="Times New Roman"/>
          <w:sz w:val="17"/>
        </w:rPr>
        <w:t>[9] V. Damodaran et al., "Cyber digital twin for critical infrastructure resilience," IEEE Access, vol. 10, pp. 98312–98326, 2022.</w:t>
      </w:r>
    </w:p>
    <w:p>
      <w:pPr>
        <w:spacing w:line="252" w:lineRule="auto" w:after="40"/>
      </w:pPr>
      <w:r>
        <w:rPr>
          <w:rFonts w:ascii="Times New Roman" w:hAnsi="Times New Roman"/>
          <w:sz w:val="17"/>
        </w:rPr>
        <w:t>[10] X. Ou, W. F. Boyer, and M. A. McQueen, "MulVAL: A logic-based network security analyzer," in Proc. 14th USENIX Security Symposium, 2005, pp. 113–128.</w:t>
      </w:r>
    </w:p>
    <w:p>
      <w:pPr>
        <w:spacing w:line="252" w:lineRule="auto" w:after="40"/>
      </w:pPr>
      <w:r>
        <w:rPr>
          <w:rFonts w:ascii="Times New Roman" w:hAnsi="Times New Roman"/>
          <w:sz w:val="17"/>
        </w:rPr>
        <w:t>[11] S. Jajodia, S. Noel, and B. O'Berry, "Topological analysis of network attack vulnerability," in Managing Cyber Threats, Springer, 2005, pp. 247–266.</w:t>
      </w:r>
    </w:p>
    <w:p>
      <w:pPr>
        <w:spacing w:line="252" w:lineRule="auto" w:after="40"/>
      </w:pPr>
      <w:r>
        <w:rPr>
          <w:rFonts w:ascii="Times New Roman" w:hAnsi="Times New Roman"/>
          <w:sz w:val="17"/>
        </w:rPr>
        <w:t>[12] I. Robinson, J. Webber, and E. Eifrem, Graph Databases: New Opportunities for Connected Data, 2nd ed., O'Reilly Media, 2015.</w:t>
      </w:r>
    </w:p>
    <w:p>
      <w:pPr>
        <w:spacing w:line="252" w:lineRule="auto" w:after="40"/>
      </w:pPr>
      <w:r>
        <w:rPr>
          <w:rFonts w:ascii="Times New Roman" w:hAnsi="Times New Roman"/>
          <w:sz w:val="17"/>
        </w:rPr>
        <w:t>[13] MITRE Corporation, "CALDERA: Automated adversary emulation platform," 2023. [Online]. Available: https://caldera.mitre.org/</w:t>
      </w:r>
    </w:p>
    <w:p>
      <w:pPr>
        <w:spacing w:line="252" w:lineRule="auto" w:after="40"/>
      </w:pPr>
      <w:r>
        <w:rPr>
          <w:rFonts w:ascii="Times New Roman" w:hAnsi="Times New Roman"/>
          <w:sz w:val="17"/>
        </w:rPr>
        <w:t>[14] B. E. Strom et al., "MITRE ATT&amp;CK: Design and philosophy," MITRE Technical Report MTR180202, 2018.</w:t>
      </w:r>
    </w:p>
    <w:p>
      <w:pPr>
        <w:spacing w:line="252" w:lineRule="auto" w:after="40"/>
      </w:pPr>
      <w:r>
        <w:rPr>
          <w:rFonts w:ascii="Times New Roman" w:hAnsi="Times New Roman"/>
          <w:sz w:val="17"/>
        </w:rPr>
        <w:t>[15] DARPA, "The cyber grand challenge: Automated defense for a hyperconnected world," Defense Advanced Research Projects Agency, Tech. Rep., 2016.</w:t>
      </w:r>
    </w:p>
    <w:p>
      <w:pPr>
        <w:spacing w:line="252" w:lineRule="auto" w:after="40"/>
      </w:pPr>
      <w:r>
        <w:rPr>
          <w:rFonts w:ascii="Times New Roman" w:hAnsi="Times New Roman"/>
          <w:sz w:val="17"/>
        </w:rPr>
        <w:t>[16] FIRST, "Common Vulnerability Scoring System (CVSS) version 3.1: Specification document," Forum of Incident Response and Security Teams, 2019.</w:t>
      </w:r>
    </w:p>
    <w:p>
      <w:pPr>
        <w:spacing w:line="252" w:lineRule="auto" w:after="40"/>
      </w:pPr>
      <w:r>
        <w:rPr>
          <w:rFonts w:ascii="Times New Roman" w:hAnsi="Times New Roman"/>
          <w:sz w:val="17"/>
        </w:rPr>
        <w:t>[17] L. Allodi and F. Massacci, "Comparing vulnerability severity ratings with actual abuse: An empirical study," IEEE Transactions on Dependable and Secure Computing, vol. 11, no. 4, pp. 317–330, 2014.</w:t>
      </w:r>
    </w:p>
    <w:p>
      <w:pPr>
        <w:spacing w:line="252" w:lineRule="auto" w:after="40"/>
      </w:pPr>
      <w:r>
        <w:rPr>
          <w:rFonts w:ascii="Times New Roman" w:hAnsi="Times New Roman"/>
          <w:sz w:val="17"/>
        </w:rPr>
        <w:t>[18] Center for Internet Security, "CIS Critical Security Controls Version 8," CIS, Tech. Rep., 2021.</w:t>
      </w:r>
    </w:p>
    <w:p>
      <w:pPr>
        <w:spacing w:line="252" w:lineRule="auto" w:after="40"/>
      </w:pPr>
      <w:r>
        <w:rPr>
          <w:rFonts w:ascii="Times New Roman" w:hAnsi="Times New Roman"/>
          <w:sz w:val="17"/>
        </w:rPr>
        <w:t>[19] NIST, "Security and Privacy Controls for Information Systems and Organizations," NIST Special Publication 800-53, Revision 5, 2020.</w:t>
      </w:r>
    </w:p>
    <w:p>
      <w:pPr>
        <w:spacing w:line="252" w:lineRule="auto" w:after="40"/>
      </w:pPr>
      <w:r>
        <w:rPr>
          <w:rFonts w:ascii="Times New Roman" w:hAnsi="Times New Roman"/>
          <w:sz w:val="17"/>
        </w:rPr>
        <w:t>[20] M. Bostock, V. Ogievetsky, and J. Heer, "D3: Data-driven documents," IEEE Trans. Vis. Comput. Graphics, vol. 17, no. 12, pp. 2301–2309, Dec. 2011.</w:t>
      </w:r>
    </w:p>
    <w:p>
      <w:pPr>
        <w:spacing w:line="252" w:lineRule="auto" w:after="40"/>
      </w:pPr>
      <w:r>
        <w:rPr>
          <w:rFonts w:ascii="Times New Roman" w:hAnsi="Times New Roman"/>
          <w:sz w:val="17"/>
        </w:rPr>
        <w:t>[21] G. Di Battista, P. Eades, R. Tamassia, and I. G. Tollis, Graph Drawing: Algorithms for the Visualization of Graphs, Prentice Hall, 1998.</w:t>
      </w:r>
    </w:p>
    <w:p>
      <w:pPr>
        <w:spacing w:line="252" w:lineRule="auto" w:after="40"/>
      </w:pPr>
      <w:r>
        <w:rPr>
          <w:rFonts w:ascii="Times New Roman" w:hAnsi="Times New Roman"/>
          <w:sz w:val="17"/>
        </w:rPr>
        <w:t>[22] Y. Liu et al., "Multi-agent orchestration frameworks for threat intelligence synthesis," ACM Trans. Privacy Security, vol. 27, no. 1, pp. 12–29,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jc w:val="both"/>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