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t>Price Benchmarking Model TP Repair</w:t>
      </w:r>
    </w:p>
    <w:p>
      <w:pPr>
        <w:jc w:val="left"/>
      </w:pPr>
      <w:r>
        <w:rPr>
          <w:b/>
          <w:color w:val="F97316"/>
          <w:sz w:val="26"/>
        </w:rPr>
        <w:t>Simple code explanation from start to finish</w:t>
      </w:r>
    </w:p>
    <w:p>
      <w:r>
        <w:t>This document explains what the application does, how the main pieces of code work, and what happens when a user uploads an invoice. It is written for someone who needs to explain the project clearly without being a software engineer.</w:t>
      </w:r>
    </w:p>
    <w:p>
      <w:pPr>
        <w:pStyle w:val="Heading1"/>
      </w:pPr>
      <w:r>
        <w:t>1. The one minute explanation</w:t>
      </w:r>
    </w:p>
    <w:p>
      <w:r>
        <w:t>Price Benchmarking Model TP Repair is a web application for reviewing UK motor repair invoices. A claims handler uploads invoices, the system reads the documents, extracts the invoice details and parts, checks the maths, matches repair descriptions to standard items, compares prices with approved and historical evidence, and highlights lines that may be too expensive. The system recommends; a human handler makes the final decision.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F97316"/>
            <w:vAlign w:val="center"/>
          </w:tcPr>
          <w:p>
            <w:r>
              <w:rPr>
                <w:b/>
                <w:color w:val="FFFFFF"/>
              </w:rPr>
              <w:t>Part</w:t>
            </w:r>
          </w:p>
        </w:tc>
        <w:tc>
          <w:tcPr>
            <w:tcW w:type="dxa" w:w="5040"/>
            <w:shd w:fill="F97316"/>
            <w:vAlign w:val="center"/>
          </w:tcPr>
          <w:p>
            <w:r>
              <w:rPr>
                <w:b/>
                <w:color w:val="FFFFFF"/>
              </w:rPr>
              <w:t>Simple meaning</w:t>
            </w:r>
          </w:p>
        </w:tc>
      </w:tr>
      <w:tr>
        <w:tc>
          <w:tcPr>
            <w:tcW w:type="dxa" w:w="5040"/>
            <w:vAlign w:val="center"/>
          </w:tcPr>
          <w:p>
            <w:r>
              <w:t>Frontend</w:t>
            </w:r>
          </w:p>
        </w:tc>
        <w:tc>
          <w:tcPr>
            <w:tcW w:type="dxa" w:w="5040"/>
            <w:vAlign w:val="center"/>
          </w:tcPr>
          <w:p>
            <w:r>
              <w:t>The screens the handler sees and clicks. Built with React and TypeScript.</w:t>
            </w:r>
          </w:p>
        </w:tc>
      </w:tr>
      <w:tr>
        <w:tc>
          <w:tcPr>
            <w:tcW w:type="dxa" w:w="5040"/>
            <w:vAlign w:val="center"/>
            <w:shd w:fill="FFF7ED"/>
          </w:tcPr>
          <w:p>
            <w:r>
              <w:t>Backend</w:t>
            </w:r>
          </w:p>
        </w:tc>
        <w:tc>
          <w:tcPr>
            <w:tcW w:type="dxa" w:w="5040"/>
            <w:vAlign w:val="center"/>
            <w:shd w:fill="FFF7ED"/>
          </w:tcPr>
          <w:p>
            <w:r>
              <w:t>The service that reads documents, applies rules, saves data and exposes the API. Built with FastAPI and Python.</w:t>
            </w:r>
          </w:p>
        </w:tc>
      </w:tr>
      <w:tr>
        <w:tc>
          <w:tcPr>
            <w:tcW w:type="dxa" w:w="5040"/>
            <w:vAlign w:val="center"/>
          </w:tcPr>
          <w:p>
            <w:r>
              <w:t>Database</w:t>
            </w:r>
          </w:p>
        </w:tc>
        <w:tc>
          <w:tcPr>
            <w:tcW w:type="dxa" w:w="5040"/>
            <w:vAlign w:val="center"/>
          </w:tcPr>
          <w:p>
            <w:r>
              <w:t>SQLite stores claims, documents, invoices, extracted lines, decisions and audit history.</w:t>
            </w:r>
          </w:p>
        </w:tc>
      </w:tr>
      <w:tr>
        <w:tc>
          <w:tcPr>
            <w:tcW w:type="dxa" w:w="5040"/>
            <w:vAlign w:val="center"/>
            <w:shd w:fill="FFF7ED"/>
          </w:tcPr>
          <w:p>
            <w:r>
              <w:t>Reference data</w:t>
            </w:r>
          </w:p>
        </w:tc>
        <w:tc>
          <w:tcPr>
            <w:tcW w:type="dxa" w:w="5040"/>
            <w:vAlign w:val="center"/>
            <w:shd w:fill="FFF7ED"/>
          </w:tcPr>
          <w:p>
            <w:r>
              <w:t>Approved repair items, historical prices and external benchmarks used for comparison.</w:t>
            </w:r>
          </w:p>
        </w:tc>
      </w:tr>
      <w:tr>
        <w:tc>
          <w:tcPr>
            <w:tcW w:type="dxa" w:w="5040"/>
            <w:vAlign w:val="center"/>
          </w:tcPr>
          <w:p>
            <w:r>
              <w:t>Reports</w:t>
            </w:r>
          </w:p>
        </w:tc>
        <w:tc>
          <w:tcPr>
            <w:tcW w:type="dxa" w:w="5040"/>
            <w:vAlign w:val="center"/>
          </w:tcPr>
          <w:p>
            <w:r>
              <w:t>JSON, Excel, SQLite, DOCX and PDF outputs for review and audit.</w:t>
            </w:r>
          </w:p>
        </w:tc>
      </w:tr>
    </w:tbl>
    <w:p/>
    <w:p>
      <w:pPr>
        <w:pStyle w:val="Heading1"/>
      </w:pPr>
      <w:r>
        <w:t>2. What happens from start to finish</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F97316"/>
            <w:vAlign w:val="center"/>
          </w:tcPr>
          <w:p>
            <w:r>
              <w:rPr>
                <w:b/>
                <w:color w:val="FFFFFF"/>
              </w:rPr>
              <w:t>Step</w:t>
            </w:r>
          </w:p>
        </w:tc>
        <w:tc>
          <w:tcPr>
            <w:tcW w:type="dxa" w:w="3360"/>
            <w:shd w:fill="F97316"/>
            <w:vAlign w:val="center"/>
          </w:tcPr>
          <w:p>
            <w:r>
              <w:rPr>
                <w:b/>
                <w:color w:val="FFFFFF"/>
              </w:rPr>
              <w:t>User action</w:t>
            </w:r>
          </w:p>
        </w:tc>
        <w:tc>
          <w:tcPr>
            <w:tcW w:type="dxa" w:w="3360"/>
            <w:shd w:fill="F97316"/>
            <w:vAlign w:val="center"/>
          </w:tcPr>
          <w:p>
            <w:r>
              <w:rPr>
                <w:b/>
                <w:color w:val="FFFFFF"/>
              </w:rPr>
              <w:t>What the code does</w:t>
            </w:r>
          </w:p>
        </w:tc>
      </w:tr>
      <w:tr>
        <w:tc>
          <w:tcPr>
            <w:tcW w:type="dxa" w:w="3360"/>
            <w:vAlign w:val="center"/>
          </w:tcPr>
          <w:p>
            <w:r>
              <w:t>1</w:t>
            </w:r>
          </w:p>
        </w:tc>
        <w:tc>
          <w:tcPr>
            <w:tcW w:type="dxa" w:w="3360"/>
            <w:vAlign w:val="center"/>
          </w:tcPr>
          <w:p>
            <w:r>
              <w:t>Open the app</w:t>
            </w:r>
          </w:p>
        </w:tc>
        <w:tc>
          <w:tcPr>
            <w:tcW w:type="dxa" w:w="3360"/>
            <w:vAlign w:val="center"/>
          </w:tcPr>
          <w:p>
            <w:r>
              <w:t>The React frontend loads and calls the backend readiness and claim endpoints.</w:t>
            </w:r>
          </w:p>
        </w:tc>
      </w:tr>
      <w:tr>
        <w:tc>
          <w:tcPr>
            <w:tcW w:type="dxa" w:w="3360"/>
            <w:vAlign w:val="center"/>
            <w:shd w:fill="FFF7ED"/>
          </w:tcPr>
          <w:p>
            <w:r>
              <w:t>2</w:t>
            </w:r>
          </w:p>
        </w:tc>
        <w:tc>
          <w:tcPr>
            <w:tcW w:type="dxa" w:w="3360"/>
            <w:vAlign w:val="center"/>
            <w:shd w:fill="FFF7ED"/>
          </w:tcPr>
          <w:p>
            <w:r>
              <w:t>Choose a main source tab</w:t>
            </w:r>
          </w:p>
        </w:tc>
        <w:tc>
          <w:tcPr>
            <w:tcW w:type="dxa" w:w="3360"/>
            <w:vAlign w:val="center"/>
            <w:shd w:fill="FFF7ED"/>
          </w:tcPr>
          <w:p>
            <w:r>
              <w:t>The handler chooses insurer TP invoices, model-training invoices, or a new invoice comparison.</w:t>
            </w:r>
          </w:p>
        </w:tc>
      </w:tr>
      <w:tr>
        <w:tc>
          <w:tcPr>
            <w:tcW w:type="dxa" w:w="3360"/>
            <w:vAlign w:val="center"/>
          </w:tcPr>
          <w:p>
            <w:r>
              <w:t>3</w:t>
            </w:r>
          </w:p>
        </w:tc>
        <w:tc>
          <w:tcPr>
            <w:tcW w:type="dxa" w:w="3360"/>
            <w:vAlign w:val="center"/>
          </w:tcPr>
          <w:p>
            <w:r>
              <w:t>Upload documents</w:t>
            </w:r>
          </w:p>
        </w:tc>
        <w:tc>
          <w:tcPr>
            <w:tcW w:type="dxa" w:w="3360"/>
            <w:vAlign w:val="center"/>
          </w:tcPr>
          <w:p>
            <w:r>
              <w:t>The browser sends PDF or supported files to the backend. The upload page stays open and shows the workflow.</w:t>
            </w:r>
          </w:p>
        </w:tc>
      </w:tr>
      <w:tr>
        <w:tc>
          <w:tcPr>
            <w:tcW w:type="dxa" w:w="3360"/>
            <w:vAlign w:val="center"/>
            <w:shd w:fill="FFF7ED"/>
          </w:tcPr>
          <w:p>
            <w:r>
              <w:t>4</w:t>
            </w:r>
          </w:p>
        </w:tc>
        <w:tc>
          <w:tcPr>
            <w:tcW w:type="dxa" w:w="3360"/>
            <w:vAlign w:val="center"/>
            <w:shd w:fill="FFF7ED"/>
          </w:tcPr>
          <w:p>
            <w:r>
              <w:t>Read and classify</w:t>
            </w:r>
          </w:p>
        </w:tc>
        <w:tc>
          <w:tcPr>
            <w:tcW w:type="dxa" w:w="3360"/>
            <w:vAlign w:val="center"/>
            <w:shd w:fill="FFF7ED"/>
          </w:tcPr>
          <w:p>
            <w:r>
              <w:t>The backend stores the file, splits it into pages, identifies page types and extracts text or layout data.</w:t>
            </w:r>
          </w:p>
        </w:tc>
      </w:tr>
      <w:tr>
        <w:tc>
          <w:tcPr>
            <w:tcW w:type="dxa" w:w="3360"/>
            <w:vAlign w:val="center"/>
          </w:tcPr>
          <w:p>
            <w:r>
              <w:t>5</w:t>
            </w:r>
          </w:p>
        </w:tc>
        <w:tc>
          <w:tcPr>
            <w:tcW w:type="dxa" w:w="3360"/>
            <w:vAlign w:val="center"/>
          </w:tcPr>
          <w:p>
            <w:r>
              <w:t>Extract invoice data</w:t>
            </w:r>
          </w:p>
        </w:tc>
        <w:tc>
          <w:tcPr>
            <w:tcW w:type="dxa" w:w="3360"/>
            <w:vAlign w:val="center"/>
          </w:tcPr>
          <w:p>
            <w:r>
              <w:t>The system finds supplier, invoice number, vehicle details, totals, VAT and line items.</w:t>
            </w:r>
          </w:p>
        </w:tc>
      </w:tr>
      <w:tr>
        <w:tc>
          <w:tcPr>
            <w:tcW w:type="dxa" w:w="3360"/>
            <w:vAlign w:val="center"/>
            <w:shd w:fill="FFF7ED"/>
          </w:tcPr>
          <w:p>
            <w:r>
              <w:t>6</w:t>
            </w:r>
          </w:p>
        </w:tc>
        <w:tc>
          <w:tcPr>
            <w:tcW w:type="dxa" w:w="3360"/>
            <w:vAlign w:val="center"/>
            <w:shd w:fill="FFF7ED"/>
          </w:tcPr>
          <w:p>
            <w:r>
              <w:t>Check calculations</w:t>
            </w:r>
          </w:p>
        </w:tc>
        <w:tc>
          <w:tcPr>
            <w:tcW w:type="dxa" w:w="3360"/>
            <w:vAlign w:val="center"/>
            <w:shd w:fill="FFF7ED"/>
          </w:tcPr>
          <w:p>
            <w:r>
              <w:t>Python Decimal calculations independently check quantities, unit prices, net totals, VAT and gross totals.</w:t>
            </w:r>
          </w:p>
        </w:tc>
      </w:tr>
      <w:tr>
        <w:tc>
          <w:tcPr>
            <w:tcW w:type="dxa" w:w="3360"/>
            <w:vAlign w:val="center"/>
          </w:tcPr>
          <w:p>
            <w:r>
              <w:t>7</w:t>
            </w:r>
          </w:p>
        </w:tc>
        <w:tc>
          <w:tcPr>
            <w:tcW w:type="dxa" w:w="3360"/>
            <w:vAlign w:val="center"/>
          </w:tcPr>
          <w:p>
            <w:r>
              <w:t>Match repair items</w:t>
            </w:r>
          </w:p>
        </w:tc>
        <w:tc>
          <w:tcPr>
            <w:tcW w:type="dxa" w:w="3360"/>
            <w:vAlign w:val="center"/>
          </w:tcPr>
          <w:p>
            <w:r>
              <w:t>Invoice wording and part numbers are matched to the governed repair-item catalogue, called the ontology.</w:t>
            </w:r>
          </w:p>
        </w:tc>
      </w:tr>
      <w:tr>
        <w:tc>
          <w:tcPr>
            <w:tcW w:type="dxa" w:w="3360"/>
            <w:vAlign w:val="center"/>
            <w:shd w:fill="FFF7ED"/>
          </w:tcPr>
          <w:p>
            <w:r>
              <w:t>8</w:t>
            </w:r>
          </w:p>
        </w:tc>
        <w:tc>
          <w:tcPr>
            <w:tcW w:type="dxa" w:w="3360"/>
            <w:vAlign w:val="center"/>
            <w:shd w:fill="FFF7ED"/>
          </w:tcPr>
          <w:p>
            <w:r>
              <w:t>Compare prices</w:t>
            </w:r>
          </w:p>
        </w:tc>
        <w:tc>
          <w:tcPr>
            <w:tcW w:type="dxa" w:w="3360"/>
            <w:vAlign w:val="center"/>
            <w:shd w:fill="FFF7ED"/>
          </w:tcPr>
          <w:p>
            <w:r>
              <w:t>The system compares the invoice price with approved price evidence, historical claims and external references.</w:t>
            </w:r>
          </w:p>
        </w:tc>
      </w:tr>
      <w:tr>
        <w:tc>
          <w:tcPr>
            <w:tcW w:type="dxa" w:w="3360"/>
            <w:vAlign w:val="center"/>
          </w:tcPr>
          <w:p>
            <w:r>
              <w:t>9</w:t>
            </w:r>
          </w:p>
        </w:tc>
        <w:tc>
          <w:tcPr>
            <w:tcW w:type="dxa" w:w="3360"/>
            <w:vAlign w:val="center"/>
          </w:tcPr>
          <w:p>
            <w:r>
              <w:t>Show findings</w:t>
            </w:r>
          </w:p>
        </w:tc>
        <w:tc>
          <w:tcPr>
            <w:tcW w:type="dxa" w:w="3360"/>
            <w:vAlign w:val="center"/>
          </w:tcPr>
          <w:p>
            <w:r>
              <w:t>The handler sees matching, extracts, evidence and possible challenges in the main workflow.</w:t>
            </w:r>
          </w:p>
        </w:tc>
      </w:tr>
      <w:tr>
        <w:tc>
          <w:tcPr>
            <w:tcW w:type="dxa" w:w="3360"/>
            <w:vAlign w:val="center"/>
            <w:shd w:fill="FFF7ED"/>
          </w:tcPr>
          <w:p>
            <w:r>
              <w:t>10</w:t>
            </w:r>
          </w:p>
        </w:tc>
        <w:tc>
          <w:tcPr>
            <w:tcW w:type="dxa" w:w="3360"/>
            <w:vAlign w:val="center"/>
            <w:shd w:fill="FFF7ED"/>
          </w:tcPr>
          <w:p>
            <w:r>
              <w:t>Human review</w:t>
            </w:r>
          </w:p>
        </w:tc>
        <w:tc>
          <w:tcPr>
            <w:tcW w:type="dxa" w:w="3360"/>
            <w:vAlign w:val="center"/>
            <w:shd w:fill="FFF7ED"/>
          </w:tcPr>
          <w:p>
            <w:r>
              <w:t>The handler can accept, edit, reject or send an item for manual review.</w:t>
            </w:r>
          </w:p>
        </w:tc>
      </w:tr>
      <w:tr>
        <w:tc>
          <w:tcPr>
            <w:tcW w:type="dxa" w:w="3360"/>
            <w:vAlign w:val="center"/>
          </w:tcPr>
          <w:p>
            <w:r>
              <w:t>11</w:t>
            </w:r>
          </w:p>
        </w:tc>
        <w:tc>
          <w:tcPr>
            <w:tcW w:type="dxa" w:w="3360"/>
            <w:vAlign w:val="center"/>
          </w:tcPr>
          <w:p>
            <w:r>
              <w:t>Approve and report</w:t>
            </w:r>
          </w:p>
        </w:tc>
        <w:tc>
          <w:tcPr>
            <w:tcW w:type="dxa" w:w="3360"/>
            <w:vAlign w:val="center"/>
          </w:tcPr>
          <w:p>
            <w:r>
              <w:t>Approved findings can produce a challenge package and audit-ready reports.</w:t>
            </w:r>
          </w:p>
        </w:tc>
      </w:tr>
      <w:tr>
        <w:tc>
          <w:tcPr>
            <w:tcW w:type="dxa" w:w="3360"/>
            <w:vAlign w:val="center"/>
            <w:shd w:fill="FFF7ED"/>
          </w:tcPr>
          <w:p>
            <w:r>
              <w:t>12</w:t>
            </w:r>
          </w:p>
        </w:tc>
        <w:tc>
          <w:tcPr>
            <w:tcW w:type="dxa" w:w="3360"/>
            <w:vAlign w:val="center"/>
            <w:shd w:fill="FFF7ED"/>
          </w:tcPr>
          <w:p>
            <w:r>
              <w:t>Record settlement</w:t>
            </w:r>
          </w:p>
        </w:tc>
        <w:tc>
          <w:tcPr>
            <w:tcW w:type="dxa" w:w="3360"/>
            <w:vAlign w:val="center"/>
            <w:shd w:fill="FFF7ED"/>
          </w:tcPr>
          <w:p>
            <w:r>
              <w:t>The final agreed invoice amount can be stored after the decision.</w:t>
            </w:r>
          </w:p>
        </w:tc>
      </w:tr>
    </w:tbl>
    <w:p/>
    <w:p>
      <w:pPr>
        <w:pStyle w:val="Heading1"/>
      </w:pPr>
      <w:r>
        <w:t>3. The code structure</w:t>
      </w:r>
    </w:p>
    <w:p>
      <w:r>
        <w:t>The repository has two applications living together: a TypeScript/React frontend and a Python/FastAPI backend.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F97316"/>
            <w:vAlign w:val="center"/>
          </w:tcPr>
          <w:p>
            <w:r>
              <w:rPr>
                <w:b/>
                <w:color w:val="FFFFFF"/>
              </w:rPr>
              <w:t>Folder or file</w:t>
            </w:r>
          </w:p>
        </w:tc>
        <w:tc>
          <w:tcPr>
            <w:tcW w:type="dxa" w:w="5040"/>
            <w:shd w:fill="F97316"/>
            <w:vAlign w:val="center"/>
          </w:tcPr>
          <w:p>
            <w:r>
              <w:rPr>
                <w:b/>
                <w:color w:val="FFFFFF"/>
              </w:rPr>
              <w:t>Purpose</w:t>
            </w:r>
          </w:p>
        </w:tc>
      </w:tr>
      <w:tr>
        <w:tc>
          <w:tcPr>
            <w:tcW w:type="dxa" w:w="5040"/>
            <w:vAlign w:val="center"/>
          </w:tcPr>
          <w:p>
            <w:r>
              <w:t>src/main.tsx</w:t>
            </w:r>
          </w:p>
        </w:tc>
        <w:tc>
          <w:tcPr>
            <w:tcW w:type="dxa" w:w="5040"/>
            <w:vAlign w:val="center"/>
          </w:tcPr>
          <w:p>
            <w:r>
              <w:t>Browser entry point. Starts the React application.</w:t>
            </w:r>
          </w:p>
        </w:tc>
      </w:tr>
      <w:tr>
        <w:tc>
          <w:tcPr>
            <w:tcW w:type="dxa" w:w="5040"/>
            <w:vAlign w:val="center"/>
            <w:shd w:fill="FFF7ED"/>
          </w:tcPr>
          <w:p>
            <w:r>
              <w:t>src/App.tsx</w:t>
            </w:r>
          </w:p>
        </w:tc>
        <w:tc>
          <w:tcPr>
            <w:tcW w:type="dxa" w:w="5040"/>
            <w:vAlign w:val="center"/>
            <w:shd w:fill="FFF7ED"/>
          </w:tcPr>
          <w:p>
            <w:r>
              <w:t>Main application controller. Connects to the API, keeps current claim state, chooses the active screen and handles navigation.</w:t>
            </w:r>
          </w:p>
        </w:tc>
      </w:tr>
      <w:tr>
        <w:tc>
          <w:tcPr>
            <w:tcW w:type="dxa" w:w="5040"/>
            <w:vAlign w:val="center"/>
          </w:tcPr>
          <w:p>
            <w:r>
              <w:t>src/features/claim-guard/</w:t>
            </w:r>
          </w:p>
        </w:tc>
        <w:tc>
          <w:tcPr>
            <w:tcW w:type="dxa" w:w="5040"/>
            <w:vAlign w:val="center"/>
          </w:tcPr>
          <w:p>
            <w:r>
              <w:t>Main product feature: upload, document intelligence, matching, benchmarks, review and reports.</w:t>
            </w:r>
          </w:p>
        </w:tc>
      </w:tr>
      <w:tr>
        <w:tc>
          <w:tcPr>
            <w:tcW w:type="dxa" w:w="5040"/>
            <w:vAlign w:val="center"/>
            <w:shd w:fill="FFF7ED"/>
          </w:tcPr>
          <w:p>
            <w:r>
              <w:t>src/features/claim-guard/app-shell.tsx</w:t>
            </w:r>
          </w:p>
        </w:tc>
        <w:tc>
          <w:tcPr>
            <w:tcW w:type="dxa" w:w="5040"/>
            <w:vAlign w:val="center"/>
            <w:shd w:fill="FFF7ED"/>
          </w:tcPr>
          <w:p>
            <w:r>
              <w:t>Sidebar, product name, source navigation and Advanced tools section.</w:t>
            </w:r>
          </w:p>
        </w:tc>
      </w:tr>
      <w:tr>
        <w:tc>
          <w:tcPr>
            <w:tcW w:type="dxa" w:w="5040"/>
            <w:vAlign w:val="center"/>
          </w:tcPr>
          <w:p>
            <w:r>
              <w:t>src/features/claim-guard/screens-client-intake.tsx</w:t>
            </w:r>
          </w:p>
        </w:tc>
        <w:tc>
          <w:tcPr>
            <w:tcW w:type="dxa" w:w="5040"/>
            <w:vAlign w:val="center"/>
          </w:tcPr>
          <w:p>
            <w:r>
              <w:t>Upload documents screen. Also shows matching and extracts inline after documents are ready.</w:t>
            </w:r>
          </w:p>
        </w:tc>
      </w:tr>
      <w:tr>
        <w:tc>
          <w:tcPr>
            <w:tcW w:type="dxa" w:w="5040"/>
            <w:vAlign w:val="center"/>
            <w:shd w:fill="FFF7ED"/>
          </w:tcPr>
          <w:p>
            <w:r>
              <w:t>src/features/claim-guard/screens-source-intelligence.tsx</w:t>
            </w:r>
          </w:p>
        </w:tc>
        <w:tc>
          <w:tcPr>
            <w:tcW w:type="dxa" w:w="5040"/>
            <w:vAlign w:val="center"/>
            <w:shd w:fill="FFF7ED"/>
          </w:tcPr>
          <w:p>
            <w:r>
              <w:t>Document matching, invoice/assessment mapping and extracted details.</w:t>
            </w:r>
          </w:p>
        </w:tc>
      </w:tr>
      <w:tr>
        <w:tc>
          <w:tcPr>
            <w:tcW w:type="dxa" w:w="5040"/>
            <w:vAlign w:val="center"/>
          </w:tcPr>
          <w:p>
            <w:r>
              <w:t>src/features/claim-guard/screens-source-benchmarks.tsx</w:t>
            </w:r>
          </w:p>
        </w:tc>
        <w:tc>
          <w:tcPr>
            <w:tcW w:type="dxa" w:w="5040"/>
            <w:vAlign w:val="center"/>
          </w:tcPr>
          <w:p>
            <w:r>
              <w:t>Benchmark computation for the selected source.</w:t>
            </w:r>
          </w:p>
        </w:tc>
      </w:tr>
      <w:tr>
        <w:tc>
          <w:tcPr>
            <w:tcW w:type="dxa" w:w="5040"/>
            <w:vAlign w:val="center"/>
            <w:shd w:fill="FFF7ED"/>
          </w:tcPr>
          <w:p>
            <w:r>
              <w:t>src/features/claim-guard/screens-benchmark-analysis.tsx</w:t>
            </w:r>
          </w:p>
        </w:tc>
        <w:tc>
          <w:tcPr>
            <w:tcW w:type="dxa" w:w="5040"/>
            <w:vAlign w:val="center"/>
            <w:shd w:fill="FFF7ED"/>
          </w:tcPr>
          <w:p>
            <w:r>
              <w:t>Analysis of a new invoice against the benchmark.</w:t>
            </w:r>
          </w:p>
        </w:tc>
      </w:tr>
      <w:tr>
        <w:tc>
          <w:tcPr>
            <w:tcW w:type="dxa" w:w="5040"/>
            <w:vAlign w:val="center"/>
          </w:tcPr>
          <w:p>
            <w:r>
              <w:t>src/lib/api.ts</w:t>
            </w:r>
          </w:p>
        </w:tc>
        <w:tc>
          <w:tcPr>
            <w:tcW w:type="dxa" w:w="5040"/>
            <w:vAlign w:val="center"/>
          </w:tcPr>
          <w:p>
            <w:r>
              <w:t>Shared HTTP helper used by the frontend to call the backend.</w:t>
            </w:r>
          </w:p>
        </w:tc>
      </w:tr>
      <w:tr>
        <w:tc>
          <w:tcPr>
            <w:tcW w:type="dxa" w:w="5040"/>
            <w:vAlign w:val="center"/>
            <w:shd w:fill="FFF7ED"/>
          </w:tcPr>
          <w:p>
            <w:r>
              <w:t>backend/app/main.py</w:t>
            </w:r>
          </w:p>
        </w:tc>
        <w:tc>
          <w:tcPr>
            <w:tcW w:type="dxa" w:w="5040"/>
            <w:vAlign w:val="center"/>
            <w:shd w:fill="FFF7ED"/>
          </w:tcPr>
          <w:p>
            <w:r>
              <w:t>FastAPI application entry point and API setup.</w:t>
            </w:r>
          </w:p>
        </w:tc>
      </w:tr>
      <w:tr>
        <w:tc>
          <w:tcPr>
            <w:tcW w:type="dxa" w:w="5040"/>
            <w:vAlign w:val="center"/>
          </w:tcPr>
          <w:p>
            <w:r>
              <w:t>backend/app/api/</w:t>
            </w:r>
          </w:p>
        </w:tc>
        <w:tc>
          <w:tcPr>
            <w:tcW w:type="dxa" w:w="5040"/>
            <w:vAlign w:val="center"/>
          </w:tcPr>
          <w:p>
            <w:r>
              <w:t>HTTP routes: upload, claims, invoices, pages, extraction decisions, mappings and reports.</w:t>
            </w:r>
          </w:p>
        </w:tc>
      </w:tr>
      <w:tr>
        <w:tc>
          <w:tcPr>
            <w:tcW w:type="dxa" w:w="5040"/>
            <w:vAlign w:val="center"/>
            <w:shd w:fill="FFF7ED"/>
          </w:tcPr>
          <w:p>
            <w:r>
              <w:t>backend/app/services/</w:t>
            </w:r>
          </w:p>
        </w:tc>
        <w:tc>
          <w:tcPr>
            <w:tcW w:type="dxa" w:w="5040"/>
            <w:vAlign w:val="center"/>
            <w:shd w:fill="FFF7ED"/>
          </w:tcPr>
          <w:p>
            <w:r>
              <w:t>Business operations such as document processing, matching, comparisons and reports.</w:t>
            </w:r>
          </w:p>
        </w:tc>
      </w:tr>
      <w:tr>
        <w:tc>
          <w:tcPr>
            <w:tcW w:type="dxa" w:w="5040"/>
            <w:vAlign w:val="center"/>
          </w:tcPr>
          <w:p>
            <w:r>
              <w:t>backend/app/models/</w:t>
            </w:r>
          </w:p>
        </w:tc>
        <w:tc>
          <w:tcPr>
            <w:tcW w:type="dxa" w:w="5040"/>
            <w:vAlign w:val="center"/>
          </w:tcPr>
          <w:p>
            <w:r>
              <w:t>Database models representing claims, documents, invoices, lines, evidence and audit events.</w:t>
            </w:r>
          </w:p>
        </w:tc>
      </w:tr>
      <w:tr>
        <w:tc>
          <w:tcPr>
            <w:tcW w:type="dxa" w:w="5040"/>
            <w:vAlign w:val="center"/>
            <w:shd w:fill="FFF7ED"/>
          </w:tcPr>
          <w:p>
            <w:r>
              <w:t>backend/app/schemas/</w:t>
            </w:r>
          </w:p>
        </w:tc>
        <w:tc>
          <w:tcPr>
            <w:tcW w:type="dxa" w:w="5040"/>
            <w:vAlign w:val="center"/>
            <w:shd w:fill="FFF7ED"/>
          </w:tcPr>
          <w:p>
            <w:r>
              <w:t>Input and output shapes used by the API.</w:t>
            </w:r>
          </w:p>
        </w:tc>
      </w:tr>
      <w:tr>
        <w:tc>
          <w:tcPr>
            <w:tcW w:type="dxa" w:w="5040"/>
            <w:vAlign w:val="center"/>
          </w:tcPr>
          <w:p>
            <w:r>
              <w:t>backend/app/rules/ and policy files</w:t>
            </w:r>
          </w:p>
        </w:tc>
        <w:tc>
          <w:tcPr>
            <w:tcW w:type="dxa" w:w="5040"/>
            <w:vAlign w:val="center"/>
          </w:tcPr>
          <w:p>
            <w:r>
              <w:t>Configurable thresholds, weights and product rules.</w:t>
            </w:r>
          </w:p>
        </w:tc>
      </w:tr>
      <w:tr>
        <w:tc>
          <w:tcPr>
            <w:tcW w:type="dxa" w:w="5040"/>
            <w:vAlign w:val="center"/>
            <w:shd w:fill="FFF7ED"/>
          </w:tcPr>
          <w:p>
            <w:r>
              <w:t>backend/alembic/</w:t>
            </w:r>
          </w:p>
        </w:tc>
        <w:tc>
          <w:tcPr>
            <w:tcW w:type="dxa" w:w="5040"/>
            <w:vAlign w:val="center"/>
            <w:shd w:fill="FFF7ED"/>
          </w:tcPr>
          <w:p>
            <w:r>
              <w:t>Database migrations so the schema can be created and upgraded safely.</w:t>
            </w:r>
          </w:p>
        </w:tc>
      </w:tr>
      <w:tr>
        <w:tc>
          <w:tcPr>
            <w:tcW w:type="dxa" w:w="5040"/>
            <w:vAlign w:val="center"/>
          </w:tcPr>
          <w:p>
            <w:r>
              <w:t>tests/ and *.test.ts(x)</w:t>
            </w:r>
          </w:p>
        </w:tc>
        <w:tc>
          <w:tcPr>
            <w:tcW w:type="dxa" w:w="5040"/>
            <w:vAlign w:val="center"/>
          </w:tcPr>
          <w:p>
            <w:r>
              <w:t>Automated checks for backend behaviour and frontend screens.</w:t>
            </w:r>
          </w:p>
        </w:tc>
      </w:tr>
    </w:tbl>
    <w:p/>
    <w:p>
      <w:pPr>
        <w:pStyle w:val="Heading1"/>
      </w:pPr>
      <w:r>
        <w:t>4. How the frontend works</w:t>
      </w:r>
    </w:p>
    <w:p>
      <w:r>
        <w:t>The frontend is a React application. React renders screens from state. State means facts such as the active claim, uploaded documents, invoices, current source tab and API status.</w:t>
      </w:r>
    </w:p>
    <w:p>
      <w:r>
        <w:t>App.tsx is the traffic controller. It calls connectToApi when the app starts, stores the returned workspace, and uses navigate to select the current screen. When a user uploads a file, refreshAfterUpload reloads the claim, documents and invoices. The upload screen then renders SourceIntelligenceScreen inline when ready documents exist. This is why matching and extracts now appear in the primary upload workflow instead of being hidden only in Advanced tools.</w:t>
      </w:r>
    </w:p>
    <w:p>
      <w:r>
        <w:t>The app-shell controls the visible navigation. The product name is defined once as “Price Benchmarking Model TP Repair”. The three primary source areas are visible, while Advanced tools is a collapsible secondary section.</w:t>
      </w:r>
    </w:p>
    <w:p>
      <w:pPr>
        <w:pStyle w:val="Heading1"/>
      </w:pPr>
      <w:r>
        <w:t>5. How the backend works</w:t>
      </w:r>
    </w:p>
    <w:p>
      <w:r>
        <w:t>FastAPI receives browser requests under the /api/v1 path. A route validates the request and hands the work to a service. The service reads or writes SQLAlchemy models and returns a typed response. This separation keeps HTTP details out of the calculation code.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F97316"/>
            <w:vAlign w:val="center"/>
          </w:tcPr>
          <w:p>
            <w:r>
              <w:rPr>
                <w:b/>
                <w:color w:val="FFFFFF"/>
              </w:rPr>
              <w:t>API area</w:t>
            </w:r>
          </w:p>
        </w:tc>
        <w:tc>
          <w:tcPr>
            <w:tcW w:type="dxa" w:w="5040"/>
            <w:shd w:fill="F97316"/>
            <w:vAlign w:val="center"/>
          </w:tcPr>
          <w:p>
            <w:r>
              <w:rPr>
                <w:b/>
                <w:color w:val="FFFFFF"/>
              </w:rPr>
              <w:t>What it handles</w:t>
            </w:r>
          </w:p>
        </w:tc>
      </w:tr>
      <w:tr>
        <w:tc>
          <w:tcPr>
            <w:tcW w:type="dxa" w:w="5040"/>
            <w:vAlign w:val="center"/>
          </w:tcPr>
          <w:p>
            <w:r>
              <w:t>Cases and claims</w:t>
            </w:r>
          </w:p>
        </w:tc>
        <w:tc>
          <w:tcPr>
            <w:tcW w:type="dxa" w:w="5040"/>
            <w:vAlign w:val="center"/>
          </w:tcPr>
          <w:p>
            <w:r>
              <w:t>Create a case, load claim details and update vehicle or liability information.</w:t>
            </w:r>
          </w:p>
        </w:tc>
      </w:tr>
      <w:tr>
        <w:tc>
          <w:tcPr>
            <w:tcW w:type="dxa" w:w="5040"/>
            <w:vAlign w:val="center"/>
            <w:shd w:fill="FFF7ED"/>
          </w:tcPr>
          <w:p>
            <w:r>
              <w:t>Documents</w:t>
            </w:r>
          </w:p>
        </w:tc>
        <w:tc>
          <w:tcPr>
            <w:tcW w:type="dxa" w:w="5040"/>
            <w:vAlign w:val="center"/>
            <w:shd w:fill="FFF7ED"/>
          </w:tcPr>
          <w:p>
            <w:r>
              <w:t>Upload files, list documents and start processing.</w:t>
            </w:r>
          </w:p>
        </w:tc>
      </w:tr>
      <w:tr>
        <w:tc>
          <w:tcPr>
            <w:tcW w:type="dxa" w:w="5040"/>
            <w:vAlign w:val="center"/>
          </w:tcPr>
          <w:p>
            <w:r>
              <w:t>Pages</w:t>
            </w:r>
          </w:p>
        </w:tc>
        <w:tc>
          <w:tcPr>
            <w:tcW w:type="dxa" w:w="5040"/>
            <w:vAlign w:val="center"/>
          </w:tcPr>
          <w:p>
            <w:r>
              <w:t>Store page images/text, page classification and source regions.</w:t>
            </w:r>
          </w:p>
        </w:tc>
      </w:tr>
      <w:tr>
        <w:tc>
          <w:tcPr>
            <w:tcW w:type="dxa" w:w="5040"/>
            <w:vAlign w:val="center"/>
            <w:shd w:fill="FFF7ED"/>
          </w:tcPr>
          <w:p>
            <w:r>
              <w:t>Invoices</w:t>
            </w:r>
          </w:p>
        </w:tc>
        <w:tc>
          <w:tcPr>
            <w:tcW w:type="dxa" w:w="5040"/>
            <w:vAlign w:val="center"/>
            <w:shd w:fill="FFF7ED"/>
          </w:tcPr>
          <w:p>
            <w:r>
              <w:t>Store extracted invoices and invoice lines.</w:t>
            </w:r>
          </w:p>
        </w:tc>
      </w:tr>
      <w:tr>
        <w:tc>
          <w:tcPr>
            <w:tcW w:type="dxa" w:w="5040"/>
            <w:vAlign w:val="center"/>
          </w:tcPr>
          <w:p>
            <w:r>
              <w:t>Extraction decisions</w:t>
            </w:r>
          </w:p>
        </w:tc>
        <w:tc>
          <w:tcPr>
            <w:tcW w:type="dxa" w:w="5040"/>
            <w:vAlign w:val="center"/>
          </w:tcPr>
          <w:p>
            <w:r>
              <w:t>Accept, edit or reject extracted values.</w:t>
            </w:r>
          </w:p>
        </w:tc>
      </w:tr>
      <w:tr>
        <w:tc>
          <w:tcPr>
            <w:tcW w:type="dxa" w:w="5040"/>
            <w:vAlign w:val="center"/>
            <w:shd w:fill="FFF7ED"/>
          </w:tcPr>
          <w:p>
            <w:r>
              <w:t>Mapping decisions</w:t>
            </w:r>
          </w:p>
        </w:tc>
        <w:tc>
          <w:tcPr>
            <w:tcW w:type="dxa" w:w="5040"/>
            <w:vAlign w:val="center"/>
            <w:shd w:fill="FFF7ED"/>
          </w:tcPr>
          <w:p>
            <w:r>
              <w:t>Approve or change the match between an invoice line and a standard item.</w:t>
            </w:r>
          </w:p>
        </w:tc>
      </w:tr>
      <w:tr>
        <w:tc>
          <w:tcPr>
            <w:tcW w:type="dxa" w:w="5040"/>
            <w:vAlign w:val="center"/>
          </w:tcPr>
          <w:p>
            <w:r>
              <w:t>Comparisons</w:t>
            </w:r>
          </w:p>
        </w:tc>
        <w:tc>
          <w:tcPr>
            <w:tcW w:type="dxa" w:w="5040"/>
            <w:vAlign w:val="center"/>
          </w:tcPr>
          <w:p>
            <w:r>
              <w:t>Build price evidence, thresholds, challenge amounts and explanations.</w:t>
            </w:r>
          </w:p>
        </w:tc>
      </w:tr>
      <w:tr>
        <w:tc>
          <w:tcPr>
            <w:tcW w:type="dxa" w:w="5040"/>
            <w:vAlign w:val="center"/>
            <w:shd w:fill="FFF7ED"/>
          </w:tcPr>
          <w:p>
            <w:r>
              <w:t>Reports</w:t>
            </w:r>
          </w:p>
        </w:tc>
        <w:tc>
          <w:tcPr>
            <w:tcW w:type="dxa" w:w="5040"/>
            <w:vAlign w:val="center"/>
            <w:shd w:fill="FFF7ED"/>
          </w:tcPr>
          <w:p>
            <w:r>
              <w:t>Generate complete machine-readable and human-readable outputs.</w:t>
            </w:r>
          </w:p>
        </w:tc>
      </w:tr>
    </w:tbl>
    <w:p/>
    <w:p>
      <w:pPr>
        <w:pStyle w:val="Heading1"/>
      </w:pPr>
      <w:r>
        <w:t>6. What happens to an uploaded invoice</w:t>
      </w:r>
    </w:p>
    <w:p>
      <w:r>
        <w:t>The important point is that the original upload is preserved. The system creates structured information around it rather than replacing it.</w:t>
      </w:r>
    </w:p>
    <w:p>
      <w:pPr>
        <w:ind w:left="360"/>
      </w:pPr>
      <w:r>
        <w:rPr>
          <w:rFonts w:ascii="Courier New" w:hAnsi="Courier New"/>
          <w:color w:val="444444"/>
          <w:sz w:val="18"/>
        </w:rPr>
        <w:t>Browser -&gt; POST /claims/{case_reference}/documents -&gt; stored document</w:t>
      </w:r>
    </w:p>
    <w:p>
      <w:pPr>
        <w:ind w:left="360"/>
      </w:pPr>
      <w:r>
        <w:rPr>
          <w:rFonts w:ascii="Courier New" w:hAnsi="Courier New"/>
          <w:color w:val="444444"/>
          <w:sz w:val="18"/>
        </w:rPr>
        <w:t>Browser -&gt; POST /documents/{document_id}/process -&gt; document processor</w:t>
      </w:r>
    </w:p>
    <w:p>
      <w:pPr>
        <w:ind w:left="360"/>
      </w:pPr>
      <w:r>
        <w:rPr>
          <w:rFonts w:ascii="Courier New" w:hAnsi="Courier New"/>
          <w:color w:val="444444"/>
          <w:sz w:val="18"/>
        </w:rPr>
        <w:t>Processor -&gt; pages -&gt; text/layout -&gt; invoice fields and lines</w:t>
      </w:r>
    </w:p>
    <w:p>
      <w:pPr>
        <w:ind w:left="360"/>
      </w:pPr>
      <w:r>
        <w:rPr>
          <w:rFonts w:ascii="Courier New" w:hAnsi="Courier New"/>
          <w:color w:val="444444"/>
          <w:sz w:val="18"/>
        </w:rPr>
        <w:t>Invoice lines -&gt; arithmetic checks -&gt; ontology matching -&gt; price comparison</w:t>
      </w:r>
    </w:p>
    <w:p>
      <w:pPr>
        <w:ind w:left="360"/>
      </w:pPr>
      <w:r>
        <w:rPr>
          <w:rFonts w:ascii="Courier New" w:hAnsi="Courier New"/>
          <w:color w:val="444444"/>
          <w:sz w:val="18"/>
        </w:rPr>
        <w:t>Frontend &lt;- GET claim, documents, invoices, pages and comparisons</w:t>
      </w:r>
    </w:p>
    <w:p>
      <w:pPr>
        <w:pStyle w:val="ListBullet"/>
      </w:pPr>
      <w:r>
        <w:t>The original file and page evidence remain available for review.</w:t>
      </w:r>
    </w:p>
    <w:p>
      <w:pPr>
        <w:pStyle w:val="ListBullet"/>
      </w:pPr>
      <w:r>
        <w:t>Extraction values can be corrected without pretending the original file changed.</w:t>
      </w:r>
    </w:p>
    <w:p>
      <w:pPr>
        <w:pStyle w:val="ListBullet"/>
      </w:pPr>
      <w:r>
        <w:t>Low-confidence or ambiguous values remain visible for human review.</w:t>
      </w:r>
    </w:p>
    <w:p>
      <w:pPr>
        <w:pStyle w:val="ListBullet"/>
      </w:pPr>
      <w:r>
        <w:t>A failed match is not silently treated as a correct match; it is marked for manual review.</w:t>
      </w:r>
    </w:p>
    <w:p>
      <w:pPr>
        <w:pStyle w:val="Heading1"/>
      </w:pPr>
      <w:r>
        <w:t>7. Matching and extracts in plain English</w:t>
      </w:r>
    </w:p>
    <w:p>
      <w:r>
        <w:t>Matching answers: “Which standard repair item does this invoice line represent?” For example, “Front pads and discs fit” can match a standard brake fitting item. Extracts answer: “What exactly did the document say?” They show invoice number, supplier, vehicle, quantities, prices, totals and assessments. These are different checks: a line can be extracted correctly but matched to the wrong standard item, so the UI exposes both.</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F97316"/>
            <w:vAlign w:val="center"/>
          </w:tcPr>
          <w:p>
            <w:r>
              <w:rPr>
                <w:b/>
                <w:color w:val="FFFFFF"/>
              </w:rPr>
              <w:t>Term</w:t>
            </w:r>
          </w:p>
        </w:tc>
        <w:tc>
          <w:tcPr>
            <w:tcW w:type="dxa" w:w="5040"/>
            <w:shd w:fill="F97316"/>
            <w:vAlign w:val="center"/>
          </w:tcPr>
          <w:p>
            <w:r>
              <w:rPr>
                <w:b/>
                <w:color w:val="FFFFFF"/>
              </w:rPr>
              <w:t>Meaning</w:t>
            </w:r>
          </w:p>
        </w:tc>
      </w:tr>
      <w:tr>
        <w:tc>
          <w:tcPr>
            <w:tcW w:type="dxa" w:w="5040"/>
            <w:vAlign w:val="center"/>
          </w:tcPr>
          <w:p>
            <w:r>
              <w:t>Extract</w:t>
            </w:r>
          </w:p>
        </w:tc>
        <w:tc>
          <w:tcPr>
            <w:tcW w:type="dxa" w:w="5040"/>
            <w:vAlign w:val="center"/>
          </w:tcPr>
          <w:p>
            <w:r>
              <w:t>Value read from the uploaded document.</w:t>
            </w:r>
          </w:p>
        </w:tc>
      </w:tr>
      <w:tr>
        <w:tc>
          <w:tcPr>
            <w:tcW w:type="dxa" w:w="5040"/>
            <w:vAlign w:val="center"/>
            <w:shd w:fill="FFF7ED"/>
          </w:tcPr>
          <w:p>
            <w:r>
              <w:t>Mapping</w:t>
            </w:r>
          </w:p>
        </w:tc>
        <w:tc>
          <w:tcPr>
            <w:tcW w:type="dxa" w:w="5040"/>
            <w:vAlign w:val="center"/>
            <w:shd w:fill="FFF7ED"/>
          </w:tcPr>
          <w:p>
            <w:r>
              <w:t>Link from an invoice description to a standard repair item.</w:t>
            </w:r>
          </w:p>
        </w:tc>
      </w:tr>
      <w:tr>
        <w:tc>
          <w:tcPr>
            <w:tcW w:type="dxa" w:w="5040"/>
            <w:vAlign w:val="center"/>
          </w:tcPr>
          <w:p>
            <w:r>
              <w:t>Confidence</w:t>
            </w:r>
          </w:p>
        </w:tc>
        <w:tc>
          <w:tcPr>
            <w:tcW w:type="dxa" w:w="5040"/>
            <w:vAlign w:val="center"/>
          </w:tcPr>
          <w:p>
            <w:r>
              <w:t>How strongly the evidence supports an extraction or mapping.</w:t>
            </w:r>
          </w:p>
        </w:tc>
      </w:tr>
      <w:tr>
        <w:tc>
          <w:tcPr>
            <w:tcW w:type="dxa" w:w="5040"/>
            <w:vAlign w:val="center"/>
            <w:shd w:fill="FFF7ED"/>
          </w:tcPr>
          <w:p>
            <w:r>
              <w:t>Manual review</w:t>
            </w:r>
          </w:p>
        </w:tc>
        <w:tc>
          <w:tcPr>
            <w:tcW w:type="dxa" w:w="5040"/>
            <w:vAlign w:val="center"/>
            <w:shd w:fill="FFF7ED"/>
          </w:tcPr>
          <w:p>
            <w:r>
              <w:t>A human must decide because the system cannot safely decide.</w:t>
            </w:r>
          </w:p>
        </w:tc>
      </w:tr>
      <w:tr>
        <w:tc>
          <w:tcPr>
            <w:tcW w:type="dxa" w:w="5040"/>
            <w:vAlign w:val="center"/>
          </w:tcPr>
          <w:p>
            <w:r>
              <w:t>Audit trail</w:t>
            </w:r>
          </w:p>
        </w:tc>
        <w:tc>
          <w:tcPr>
            <w:tcW w:type="dxa" w:w="5040"/>
            <w:vAlign w:val="center"/>
          </w:tcPr>
          <w:p>
            <w:r>
              <w:t>History of what the system and users changed or approved.</w:t>
            </w:r>
          </w:p>
        </w:tc>
      </w:tr>
    </w:tbl>
    <w:p/>
    <w:p>
      <w:pPr>
        <w:pStyle w:val="Heading1"/>
      </w:pPr>
      <w:r>
        <w:t>8. How the benchmark calculation works</w:t>
      </w:r>
    </w:p>
    <w:p>
      <w:r>
        <w:t>The backend keeps the money calculations deterministic. AI may help with a constrained mapping suggestion, but it does not invent authoritative prices, calculate VAT or approve a challenge.</w:t>
      </w:r>
    </w:p>
    <w:p>
      <w:pPr>
        <w:ind w:left="360"/>
      </w:pPr>
      <w:r>
        <w:rPr>
          <w:rFonts w:ascii="Courier New" w:hAnsi="Courier New"/>
          <w:color w:val="444444"/>
          <w:sz w:val="18"/>
        </w:rPr>
        <w:t>Invoice Price = quantity x unit price (net)</w:t>
      </w:r>
    </w:p>
    <w:p>
      <w:pPr>
        <w:ind w:left="360"/>
      </w:pPr>
      <w:r>
        <w:rPr>
          <w:rFonts w:ascii="Courier New" w:hAnsi="Courier New"/>
          <w:color w:val="444444"/>
          <w:sz w:val="18"/>
        </w:rPr>
        <w:t>Net Challenge Amount = Invoice Price - Challenge Price</w:t>
      </w:r>
    </w:p>
    <w:p>
      <w:r>
        <w:t>The supported price is built from governed evidence. The active policy decides the weights, fallback behaviour and challenge thresholds. A typical challenge requires a positive difference of at least £5 and the configured percentage threshold. Every comparison stores the policy and evidence versions used so the result can be explained later.</w:t>
      </w:r>
    </w:p>
    <w:p>
      <w:pPr>
        <w:pStyle w:val="Heading1"/>
      </w:pPr>
      <w:r>
        <w:t>9. Human controls and safety rules</w:t>
      </w:r>
    </w:p>
    <w:p>
      <w:pPr>
        <w:pStyle w:val="ListBullet"/>
      </w:pPr>
      <w:r>
        <w:t>The invoice never decides liability. A human handler confirms liability.</w:t>
      </w:r>
    </w:p>
    <w:p>
      <w:pPr>
        <w:pStyle w:val="ListBullet"/>
      </w:pPr>
      <w:r>
        <w:t>A human reviews uncertain extraction and mapping decisions.</w:t>
      </w:r>
    </w:p>
    <w:p>
      <w:pPr>
        <w:pStyle w:val="ListBullet"/>
      </w:pPr>
      <w:r>
        <w:t>A challenge is not issued just because a number is different; the configured gates must pass.</w:t>
      </w:r>
    </w:p>
    <w:p>
      <w:pPr>
        <w:pStyle w:val="ListBullet"/>
      </w:pPr>
      <w:r>
        <w:t>Rejected or corrected values remain auditable.</w:t>
      </w:r>
    </w:p>
    <w:p>
      <w:pPr>
        <w:pStyle w:val="ListBullet"/>
      </w:pPr>
      <w:r>
        <w:t>Reports use approved structured facts, not unreviewed guesses.</w:t>
      </w:r>
    </w:p>
    <w:p>
      <w:pPr>
        <w:pStyle w:val="ListBullet"/>
      </w:pPr>
      <w:r>
        <w:t>The API key, if used, stays in the backend environment and is never put in frontend code.</w:t>
      </w:r>
    </w:p>
    <w:p>
      <w:pPr>
        <w:pStyle w:val="Heading1"/>
      </w:pPr>
      <w:r>
        <w:t>10. Setup and running the project</w:t>
      </w:r>
    </w:p>
    <w:p>
      <w:r>
        <w:t>For a normal local setup, run the backend and frontend in separate terminals.</w:t>
      </w:r>
    </w:p>
    <w:p>
      <w:pPr>
        <w:ind w:left="360"/>
      </w:pPr>
      <w:r>
        <w:rPr>
          <w:rFonts w:ascii="Courier New" w:hAnsi="Courier New"/>
          <w:color w:val="444444"/>
          <w:sz w:val="18"/>
        </w:rPr>
        <w:t>cd backend</w:t>
      </w:r>
    </w:p>
    <w:p>
      <w:pPr>
        <w:ind w:left="360"/>
      </w:pPr>
      <w:r>
        <w:rPr>
          <w:rFonts w:ascii="Courier New" w:hAnsi="Courier New"/>
          <w:color w:val="444444"/>
          <w:sz w:val="18"/>
        </w:rPr>
        <w:t>cp .env.example .env</w:t>
      </w:r>
    </w:p>
    <w:p>
      <w:pPr>
        <w:ind w:left="360"/>
      </w:pPr>
      <w:r>
        <w:rPr>
          <w:rFonts w:ascii="Courier New" w:hAnsi="Courier New"/>
          <w:color w:val="444444"/>
          <w:sz w:val="18"/>
        </w:rPr>
        <w:t>uv sync --extra dev</w:t>
      </w:r>
    </w:p>
    <w:p>
      <w:pPr>
        <w:ind w:left="360"/>
      </w:pPr>
      <w:r>
        <w:rPr>
          <w:rFonts w:ascii="Courier New" w:hAnsi="Courier New"/>
          <w:color w:val="444444"/>
          <w:sz w:val="18"/>
        </w:rPr>
        <w:t>uv run alembic upgrade head</w:t>
      </w:r>
    </w:p>
    <w:p>
      <w:pPr>
        <w:ind w:left="360"/>
      </w:pPr>
      <w:r>
        <w:rPr>
          <w:rFonts w:ascii="Courier New" w:hAnsi="Courier New"/>
          <w:color w:val="444444"/>
          <w:sz w:val="18"/>
        </w:rPr>
        <w:t>uv run claimguard-setup</w:t>
      </w:r>
    </w:p>
    <w:p>
      <w:pPr>
        <w:ind w:left="360"/>
      </w:pPr>
      <w:r>
        <w:rPr>
          <w:rFonts w:ascii="Courier New" w:hAnsi="Courier New"/>
          <w:color w:val="444444"/>
          <w:sz w:val="18"/>
        </w:rPr>
        <w:t>uv run uvicorn app.main:app --host 127.0.0.1 --port 8000</w:t>
      </w:r>
    </w:p>
    <w:p>
      <w:pPr>
        <w:ind w:left="360"/>
      </w:pPr>
      <w:r>
        <w:rPr>
          <w:rFonts w:ascii="Courier New" w:hAnsi="Courier New"/>
          <w:color w:val="444444"/>
          <w:sz w:val="18"/>
        </w:rPr>
        <w:t>npm install</w:t>
      </w:r>
    </w:p>
    <w:p>
      <w:pPr>
        <w:ind w:left="360"/>
      </w:pPr>
      <w:r>
        <w:rPr>
          <w:rFonts w:ascii="Courier New" w:hAnsi="Courier New"/>
          <w:color w:val="444444"/>
          <w:sz w:val="18"/>
        </w:rPr>
        <w:t>npm run dev</w:t>
      </w:r>
    </w:p>
    <w:p>
      <w:r>
        <w:t>Then open http://localhost:5173. The frontend uses the configured API origin to call FastAPI on port 8000. The app can run without an AI key; document OCR and optional hosted AI features depend on the backend environment configuration.</w:t>
      </w:r>
    </w:p>
    <w:p>
      <w:pPr>
        <w:pStyle w:val="Heading1"/>
      </w:pPr>
      <w:r>
        <w:t>11. How to test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F97316"/>
            <w:vAlign w:val="center"/>
          </w:tcPr>
          <w:p>
            <w:r>
              <w:rPr>
                <w:b/>
                <w:color w:val="FFFFFF"/>
              </w:rPr>
              <w:t>Check</w:t>
            </w:r>
          </w:p>
        </w:tc>
        <w:tc>
          <w:tcPr>
            <w:tcW w:type="dxa" w:w="3360"/>
            <w:shd w:fill="F97316"/>
            <w:vAlign w:val="center"/>
          </w:tcPr>
          <w:p>
            <w:r>
              <w:rPr>
                <w:b/>
                <w:color w:val="FFFFFF"/>
              </w:rPr>
              <w:t>Command</w:t>
            </w:r>
          </w:p>
        </w:tc>
        <w:tc>
          <w:tcPr>
            <w:tcW w:type="dxa" w:w="3360"/>
            <w:shd w:fill="F97316"/>
            <w:vAlign w:val="center"/>
          </w:tcPr>
          <w:p>
            <w:r>
              <w:rPr>
                <w:b/>
                <w:color w:val="FFFFFF"/>
              </w:rPr>
              <w:t>What it proves</w:t>
            </w:r>
          </w:p>
        </w:tc>
      </w:tr>
      <w:tr>
        <w:tc>
          <w:tcPr>
            <w:tcW w:type="dxa" w:w="3360"/>
            <w:vAlign w:val="center"/>
          </w:tcPr>
          <w:p>
            <w:r>
              <w:t>Frontend tests</w:t>
            </w:r>
          </w:p>
        </w:tc>
        <w:tc>
          <w:tcPr>
            <w:tcW w:type="dxa" w:w="3360"/>
            <w:vAlign w:val="center"/>
          </w:tcPr>
          <w:p>
            <w:r>
              <w:t>npm test -- --run</w:t>
            </w:r>
          </w:p>
        </w:tc>
        <w:tc>
          <w:tcPr>
            <w:tcW w:type="dxa" w:w="3360"/>
            <w:vAlign w:val="center"/>
          </w:tcPr>
          <w:p>
            <w:r>
              <w:t>React screens and behaviours work as expected.</w:t>
            </w:r>
          </w:p>
        </w:tc>
      </w:tr>
      <w:tr>
        <w:tc>
          <w:tcPr>
            <w:tcW w:type="dxa" w:w="3360"/>
            <w:vAlign w:val="center"/>
            <w:shd w:fill="FFF7ED"/>
          </w:tcPr>
          <w:p>
            <w:r>
              <w:t>Lint</w:t>
            </w:r>
          </w:p>
        </w:tc>
        <w:tc>
          <w:tcPr>
            <w:tcW w:type="dxa" w:w="3360"/>
            <w:vAlign w:val="center"/>
            <w:shd w:fill="FFF7ED"/>
          </w:tcPr>
          <w:p>
            <w:r>
              <w:t>npm run lint</w:t>
            </w:r>
          </w:p>
        </w:tc>
        <w:tc>
          <w:tcPr>
            <w:tcW w:type="dxa" w:w="3360"/>
            <w:vAlign w:val="center"/>
            <w:shd w:fill="FFF7ED"/>
          </w:tcPr>
          <w:p>
            <w:r>
              <w:t>Code follows the project’s style and catches common mistakes.</w:t>
            </w:r>
          </w:p>
        </w:tc>
      </w:tr>
      <w:tr>
        <w:tc>
          <w:tcPr>
            <w:tcW w:type="dxa" w:w="3360"/>
            <w:vAlign w:val="center"/>
          </w:tcPr>
          <w:p>
            <w:r>
              <w:t>Typecheck</w:t>
            </w:r>
          </w:p>
        </w:tc>
        <w:tc>
          <w:tcPr>
            <w:tcW w:type="dxa" w:w="3360"/>
            <w:vAlign w:val="center"/>
          </w:tcPr>
          <w:p>
            <w:r>
              <w:t>npm run typecheck</w:t>
            </w:r>
          </w:p>
        </w:tc>
        <w:tc>
          <w:tcPr>
            <w:tcW w:type="dxa" w:w="3360"/>
            <w:vAlign w:val="center"/>
          </w:tcPr>
          <w:p>
            <w:r>
              <w:t>TypeScript types are valid.</w:t>
            </w:r>
          </w:p>
        </w:tc>
      </w:tr>
      <w:tr>
        <w:tc>
          <w:tcPr>
            <w:tcW w:type="dxa" w:w="3360"/>
            <w:vAlign w:val="center"/>
            <w:shd w:fill="FFF7ED"/>
          </w:tcPr>
          <w:p>
            <w:r>
              <w:t>Production build</w:t>
            </w:r>
          </w:p>
        </w:tc>
        <w:tc>
          <w:tcPr>
            <w:tcW w:type="dxa" w:w="3360"/>
            <w:vAlign w:val="center"/>
            <w:shd w:fill="FFF7ED"/>
          </w:tcPr>
          <w:p>
            <w:r>
              <w:t>npm run build</w:t>
            </w:r>
          </w:p>
        </w:tc>
        <w:tc>
          <w:tcPr>
            <w:tcW w:type="dxa" w:w="3360"/>
            <w:vAlign w:val="center"/>
            <w:shd w:fill="FFF7ED"/>
          </w:tcPr>
          <w:p>
            <w:r>
              <w:t>The frontend can be bundled for deployment.</w:t>
            </w:r>
          </w:p>
        </w:tc>
      </w:tr>
      <w:tr>
        <w:tc>
          <w:tcPr>
            <w:tcW w:type="dxa" w:w="3360"/>
            <w:vAlign w:val="center"/>
          </w:tcPr>
          <w:p>
            <w:r>
              <w:t>Backend tests</w:t>
            </w:r>
          </w:p>
        </w:tc>
        <w:tc>
          <w:tcPr>
            <w:tcW w:type="dxa" w:w="3360"/>
            <w:vAlign w:val="center"/>
          </w:tcPr>
          <w:p>
            <w:r>
              <w:t>cd backend &amp;&amp; uv run pytest</w:t>
            </w:r>
          </w:p>
        </w:tc>
        <w:tc>
          <w:tcPr>
            <w:tcW w:type="dxa" w:w="3360"/>
            <w:vAlign w:val="center"/>
          </w:tcPr>
          <w:p>
            <w:r>
              <w:t>API, extraction, rules, comparison and report behaviour.</w:t>
            </w:r>
          </w:p>
        </w:tc>
      </w:tr>
      <w:tr>
        <w:tc>
          <w:tcPr>
            <w:tcW w:type="dxa" w:w="3360"/>
            <w:vAlign w:val="center"/>
            <w:shd w:fill="FFF7ED"/>
          </w:tcPr>
          <w:p>
            <w:r>
              <w:t>Backend lint</w:t>
            </w:r>
          </w:p>
        </w:tc>
        <w:tc>
          <w:tcPr>
            <w:tcW w:type="dxa" w:w="3360"/>
            <w:vAlign w:val="center"/>
            <w:shd w:fill="FFF7ED"/>
          </w:tcPr>
          <w:p>
            <w:r>
              <w:t>cd backend &amp;&amp; uv run ruff check app tests</w:t>
            </w:r>
          </w:p>
        </w:tc>
        <w:tc>
          <w:tcPr>
            <w:tcW w:type="dxa" w:w="3360"/>
            <w:vAlign w:val="center"/>
            <w:shd w:fill="FFF7ED"/>
          </w:tcPr>
          <w:p>
            <w:r>
              <w:t>Python quality and correctness checks.</w:t>
            </w:r>
          </w:p>
        </w:tc>
      </w:tr>
      <w:tr>
        <w:tc>
          <w:tcPr>
            <w:tcW w:type="dxa" w:w="3360"/>
            <w:vAlign w:val="center"/>
          </w:tcPr>
          <w:p>
            <w:r>
              <w:t>Browser QA</w:t>
            </w:r>
          </w:p>
        </w:tc>
        <w:tc>
          <w:tcPr>
            <w:tcW w:type="dxa" w:w="3360"/>
            <w:vAlign w:val="center"/>
          </w:tcPr>
          <w:p>
            <w:r>
              <w:t>Use Browser plugin on the running app</w:t>
            </w:r>
          </w:p>
        </w:tc>
        <w:tc>
          <w:tcPr>
            <w:tcW w:type="dxa" w:w="3360"/>
            <w:vAlign w:val="center"/>
          </w:tcPr>
          <w:p>
            <w:r>
              <w:t>Confirms the real rendered navigation and primary workflow.</w:t>
            </w:r>
          </w:p>
        </w:tc>
      </w:tr>
    </w:tbl>
    <w:p/>
    <w:p>
      <w:pPr>
        <w:pStyle w:val="Heading1"/>
      </w:pPr>
      <w:r>
        <w:t>12. A simple explanation to say in the meeting</w:t>
      </w:r>
    </w:p>
    <w:p>
      <w:r>
        <w:t>“This is a React frontend connected to a FastAPI backend. The handler chooses a source and uploads invoices. The backend stores the original files, reads every page, extracts invoice and assessment information, checks the arithmetic, and matches descriptions to our approved repair catalogue. It then compares prices with governed evidence and shows any possible challenge with the reason and supporting data. The handler remains in control: they review uncertain matches, approve or reject findings, and only then generate reports. SQLite stores the case and audit history. The current UI keeps upload, matching and extracts together in the main workflow, while specialist tools remain under Advanced tools.”</w:t>
      </w:r>
    </w:p>
    <w:p>
      <w:pPr>
        <w:pStyle w:val="Heading1"/>
      </w:pPr>
      <w:r>
        <w:t>13. Useful files to open when explaining the code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F97316"/>
            <w:vAlign w:val="center"/>
          </w:tcPr>
          <w:p>
            <w:r>
              <w:rPr>
                <w:b/>
                <w:color w:val="FFFFFF"/>
              </w:rPr>
              <w:t>File</w:t>
            </w:r>
          </w:p>
        </w:tc>
        <w:tc>
          <w:tcPr>
            <w:tcW w:type="dxa" w:w="5040"/>
            <w:shd w:fill="F97316"/>
            <w:vAlign w:val="center"/>
          </w:tcPr>
          <w:p>
            <w:r>
              <w:rPr>
                <w:b/>
                <w:color w:val="FFFFFF"/>
              </w:rPr>
              <w:t>Start here because</w:t>
            </w:r>
          </w:p>
        </w:tc>
      </w:tr>
      <w:tr>
        <w:tc>
          <w:tcPr>
            <w:tcW w:type="dxa" w:w="5040"/>
            <w:vAlign w:val="center"/>
          </w:tcPr>
          <w:p>
            <w:r>
              <w:t>src/App.tsx</w:t>
            </w:r>
          </w:p>
        </w:tc>
        <w:tc>
          <w:tcPr>
            <w:tcW w:type="dxa" w:w="5040"/>
            <w:vAlign w:val="center"/>
          </w:tcPr>
          <w:p>
            <w:r>
              <w:t>Shows application state, API connection, refresh and screen navigation.</w:t>
            </w:r>
          </w:p>
        </w:tc>
      </w:tr>
      <w:tr>
        <w:tc>
          <w:tcPr>
            <w:tcW w:type="dxa" w:w="5040"/>
            <w:vAlign w:val="center"/>
            <w:shd w:fill="FFF7ED"/>
          </w:tcPr>
          <w:p>
            <w:r>
              <w:t>src/features/claim-guard/app-shell.tsx</w:t>
            </w:r>
          </w:p>
        </w:tc>
        <w:tc>
          <w:tcPr>
            <w:tcW w:type="dxa" w:w="5040"/>
            <w:vAlign w:val="center"/>
            <w:shd w:fill="FFF7ED"/>
          </w:tcPr>
          <w:p>
            <w:r>
              <w:t>Shows the product name, sidebar and primary navigation.</w:t>
            </w:r>
          </w:p>
        </w:tc>
      </w:tr>
      <w:tr>
        <w:tc>
          <w:tcPr>
            <w:tcW w:type="dxa" w:w="5040"/>
            <w:vAlign w:val="center"/>
          </w:tcPr>
          <w:p>
            <w:r>
              <w:t>src/features/claim-guard/screens-client-intake.tsx</w:t>
            </w:r>
          </w:p>
        </w:tc>
        <w:tc>
          <w:tcPr>
            <w:tcW w:type="dxa" w:w="5040"/>
            <w:vAlign w:val="center"/>
          </w:tcPr>
          <w:p>
            <w:r>
              <w:t>Shows upload and the inline matching/extracts handover.</w:t>
            </w:r>
          </w:p>
        </w:tc>
      </w:tr>
      <w:tr>
        <w:tc>
          <w:tcPr>
            <w:tcW w:type="dxa" w:w="5040"/>
            <w:vAlign w:val="center"/>
            <w:shd w:fill="FFF7ED"/>
          </w:tcPr>
          <w:p>
            <w:r>
              <w:t>src/features/claim-guard/screens-source-intelligence.tsx</w:t>
            </w:r>
          </w:p>
        </w:tc>
        <w:tc>
          <w:tcPr>
            <w:tcW w:type="dxa" w:w="5040"/>
            <w:vAlign w:val="center"/>
            <w:shd w:fill="FFF7ED"/>
          </w:tcPr>
          <w:p>
            <w:r>
              <w:t>Shows mapping and extracts.</w:t>
            </w:r>
          </w:p>
        </w:tc>
      </w:tr>
      <w:tr>
        <w:tc>
          <w:tcPr>
            <w:tcW w:type="dxa" w:w="5040"/>
            <w:vAlign w:val="center"/>
          </w:tcPr>
          <w:p>
            <w:r>
              <w:t>src/lib/api.ts</w:t>
            </w:r>
          </w:p>
        </w:tc>
        <w:tc>
          <w:tcPr>
            <w:tcW w:type="dxa" w:w="5040"/>
            <w:vAlign w:val="center"/>
          </w:tcPr>
          <w:p>
            <w:r>
              <w:t>Shows how the browser calls the API.</w:t>
            </w:r>
          </w:p>
        </w:tc>
      </w:tr>
      <w:tr>
        <w:tc>
          <w:tcPr>
            <w:tcW w:type="dxa" w:w="5040"/>
            <w:vAlign w:val="center"/>
            <w:shd w:fill="FFF7ED"/>
          </w:tcPr>
          <w:p>
            <w:r>
              <w:t>backend/app/api/</w:t>
            </w:r>
          </w:p>
        </w:tc>
        <w:tc>
          <w:tcPr>
            <w:tcW w:type="dxa" w:w="5040"/>
            <w:vAlign w:val="center"/>
            <w:shd w:fill="FFF7ED"/>
          </w:tcPr>
          <w:p>
            <w:r>
              <w:t>Shows the URLs the frontend calls.</w:t>
            </w:r>
          </w:p>
        </w:tc>
      </w:tr>
      <w:tr>
        <w:tc>
          <w:tcPr>
            <w:tcW w:type="dxa" w:w="5040"/>
            <w:vAlign w:val="center"/>
          </w:tcPr>
          <w:p>
            <w:r>
              <w:t>backend/app/services/</w:t>
            </w:r>
          </w:p>
        </w:tc>
        <w:tc>
          <w:tcPr>
            <w:tcW w:type="dxa" w:w="5040"/>
            <w:vAlign w:val="center"/>
          </w:tcPr>
          <w:p>
            <w:r>
              <w:t>Shows document processing and comparison logic.</w:t>
            </w:r>
          </w:p>
        </w:tc>
      </w:tr>
      <w:tr>
        <w:tc>
          <w:tcPr>
            <w:tcW w:type="dxa" w:w="5040"/>
            <w:vAlign w:val="center"/>
            <w:shd w:fill="FFF7ED"/>
          </w:tcPr>
          <w:p>
            <w:r>
              <w:t>backend/app/models/</w:t>
            </w:r>
          </w:p>
        </w:tc>
        <w:tc>
          <w:tcPr>
            <w:tcW w:type="dxa" w:w="5040"/>
            <w:vAlign w:val="center"/>
            <w:shd w:fill="FFF7ED"/>
          </w:tcPr>
          <w:p>
            <w:r>
              <w:t>Shows what is stored in SQLite.</w:t>
            </w:r>
          </w:p>
        </w:tc>
      </w:tr>
      <w:tr>
        <w:tc>
          <w:tcPr>
            <w:tcW w:type="dxa" w:w="5040"/>
            <w:vAlign w:val="center"/>
          </w:tcPr>
          <w:p>
            <w:r>
              <w:t>backend/app/rules/</w:t>
            </w:r>
          </w:p>
        </w:tc>
        <w:tc>
          <w:tcPr>
            <w:tcW w:type="dxa" w:w="5040"/>
            <w:vAlign w:val="center"/>
          </w:tcPr>
          <w:p>
            <w:r>
              <w:t>Shows policy-driven challenge behaviour.</w:t>
            </w:r>
          </w:p>
        </w:tc>
      </w:tr>
      <w:tr>
        <w:tc>
          <w:tcPr>
            <w:tcW w:type="dxa" w:w="5040"/>
            <w:vAlign w:val="center"/>
            <w:shd w:fill="FFF7ED"/>
          </w:tcPr>
          <w:p>
            <w:r>
              <w:t>README.md and docs/</w:t>
            </w:r>
          </w:p>
        </w:tc>
        <w:tc>
          <w:tcPr>
            <w:tcW w:type="dxa" w:w="5040"/>
            <w:vAlign w:val="center"/>
            <w:shd w:fill="FFF7ED"/>
          </w:tcPr>
          <w:p>
            <w:r>
              <w:t>Shows setup, product rules and handover information.</w:t>
            </w:r>
          </w:p>
        </w:tc>
      </w:tr>
    </w:tbl>
    <w:p/>
    <w:p>
      <w:r>
        <w:t>The main idea is simple: the frontend guides the handler, the backend performs the controlled processing, the database preserves evidence and decisions, and the audit trail explains how every final number was reached.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Price Benchmarking Model TP Repair | Code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pPr>
      <w:spacing w:after="240"/>
    </w:pPr>
    <w:rPr>
      <w:rFonts w:ascii="Aptos Display" w:hAnsi="Aptos Display"/>
      <w:b/>
      <w:color w:val="000000"/>
      <w:sz w:val="5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