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2B12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第四章 硬件电路设计及实现</w:t>
      </w:r>
    </w:p>
    <w:p w14:paraId="07AF3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hint="eastAsia"/>
        </w:rPr>
        <w:t>针对</w:t>
      </w:r>
      <w:r>
        <w:t>该组别复杂的目标识别、多路视觉输入以及全向运动控制的需求，本队以</w:t>
      </w:r>
      <w:r>
        <w:rPr>
          <w:b/>
          <w:bCs/>
        </w:rPr>
        <w:t>M车模</w:t>
      </w:r>
      <w:r>
        <w:t>为底盘，设计了一套包含</w:t>
      </w:r>
      <w:r>
        <w:rPr>
          <w:b/>
          <w:bCs/>
        </w:rPr>
        <w:t>RT1064核心控制模块、多级独立电源管理模块、多传感器接入模块</w:t>
      </w:r>
      <w:r>
        <w:t>以及</w:t>
      </w:r>
      <w:r>
        <w:rPr>
          <w:b/>
          <w:bCs/>
        </w:rPr>
        <w:t>采用了</w:t>
      </w:r>
      <w:r>
        <w:rPr>
          <w:rFonts w:hint="eastAsia"/>
          <w:b/>
          <w:bCs/>
        </w:rPr>
        <w:t>两</w:t>
      </w:r>
      <w:r>
        <w:rPr>
          <w:b/>
          <w:bCs/>
        </w:rPr>
        <w:t>块集成了两片DRV8701驱动芯片的独立双驱驱动板</w:t>
      </w:r>
      <w:r>
        <w:t>的硬件系统。</w:t>
      </w:r>
    </w:p>
    <w:p w14:paraId="5E395B3E">
      <w:pPr>
        <w:rPr>
          <w:b/>
          <w:bCs/>
        </w:rPr>
      </w:pPr>
      <w:r>
        <w:rPr>
          <w:b/>
          <w:bCs/>
        </w:rPr>
        <w:t>4.1 硬件总体设计方案</w:t>
      </w:r>
    </w:p>
    <w:p w14:paraId="596E4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t>整车硬件采用 </w:t>
      </w:r>
      <w:r>
        <w:rPr>
          <w:b/>
          <w:bCs/>
        </w:rPr>
        <w:t>“RT1064核心板 + 自主设计底板”</w:t>
      </w:r>
      <w:r>
        <w:t> 的模块化架构。系统设计遵循“核心算力独立、电源多级稳压、强弱电物理隔离”的三项原则。硬件系统的整体拓扑分为四大模块：电源管理模块、核心控制模块、视觉感知与信号采集模块、以及动力执行模块。</w:t>
      </w:r>
    </w:p>
    <w:p w14:paraId="764D4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t>系统以自主设计的主控底板为基座，NXP </w:t>
      </w:r>
      <w:r>
        <w:fldChar w:fldCharType="begin"/>
      </w:r>
      <w:r>
        <w:instrText xml:space="preserve"> HYPERLINK "https://i.mx/" \t "_blank" </w:instrText>
      </w:r>
      <w:r>
        <w:fldChar w:fldCharType="separate"/>
      </w:r>
      <w:r>
        <w:rPr>
          <w:rStyle w:val="16"/>
        </w:rPr>
        <w:t>i.MX</w:t>
      </w:r>
      <w:r>
        <w:rPr>
          <w:rStyle w:val="16"/>
        </w:rPr>
        <w:fldChar w:fldCharType="end"/>
      </w:r>
      <w:r>
        <w:t> RT1064核心板通过排针插接于底板之上。整个系统由 </w:t>
      </w:r>
      <w:r>
        <w:rPr>
          <w:b/>
          <w:bCs/>
        </w:rPr>
        <w:t>3S（标称11.1V）锂电池</w:t>
      </w:r>
      <w:r>
        <w:t> 提供主电源，经由OC5820降压、SY6280时序控制以及RT9013 LDO稳压后，为各模块提供独立且纯净的电源。RT1064作为中枢，通过</w:t>
      </w:r>
      <w:r>
        <w:rPr>
          <w:rFonts w:hint="eastAsia"/>
        </w:rPr>
        <w:t>两</w:t>
      </w:r>
      <w:r>
        <w:t>路UART与视觉模块交互，并输出PWM控制信号驱动双路DRV8701电机驱动方案，实现全向移动与精准推箱。</w:t>
      </w:r>
    </w:p>
    <w:p w14:paraId="48215193">
      <w:pPr>
        <w:rPr>
          <w:b/>
          <w:bCs/>
        </w:rPr>
      </w:pPr>
      <w:r>
        <w:rPr>
          <w:b/>
          <w:bCs/>
        </w:rPr>
        <w:t>4.2 核心控制模块（RT1064核心板）</w:t>
      </w:r>
    </w:p>
    <w:p w14:paraId="4F766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t>主控方案采用 </w:t>
      </w:r>
      <w:r>
        <w:rPr>
          <w:b/>
          <w:bCs/>
        </w:rPr>
        <w:t>NXP </w:t>
      </w:r>
      <w:r>
        <w:fldChar w:fldCharType="begin"/>
      </w:r>
      <w:r>
        <w:instrText xml:space="preserve"> HYPERLINK "https://i.mx/" \t "_blank" </w:instrText>
      </w:r>
      <w:r>
        <w:fldChar w:fldCharType="separate"/>
      </w:r>
      <w:r>
        <w:rPr>
          <w:rStyle w:val="16"/>
          <w:b/>
          <w:bCs/>
        </w:rPr>
        <w:t>i.MX</w:t>
      </w:r>
      <w:r>
        <w:rPr>
          <w:rStyle w:val="16"/>
          <w:b/>
          <w:bCs/>
        </w:rPr>
        <w:fldChar w:fldCharType="end"/>
      </w:r>
      <w:r>
        <w:rPr>
          <w:b/>
          <w:bCs/>
        </w:rPr>
        <w:t> RT1064 核心板</w:t>
      </w:r>
      <w:r>
        <w:t>。该芯片基于 ARM Cortex-M7 内核，主频高达 </w:t>
      </w:r>
      <w:r>
        <w:rPr>
          <w:b/>
          <w:bCs/>
        </w:rPr>
        <w:t>600MHz</w:t>
      </w:r>
      <w:r>
        <w:t>，具备硬件浮点运算单元（FPU），不仅能满足多路视觉传感器数据的并行处理，还能实时完成复杂的神经网络推理结果接收与高速PID运动控制。采用核心板插接底板的模式，降低了硬件焊接风险，提高了前期代码调试与后期硬件维护的效率。</w:t>
      </w:r>
    </w:p>
    <w:p w14:paraId="7407C7E9">
      <w:pPr>
        <w:rPr>
          <w:b/>
          <w:bCs/>
        </w:rPr>
      </w:pPr>
      <w:r>
        <w:rPr>
          <w:b/>
          <w:bCs/>
        </w:rPr>
        <w:t>4.3 电源管理模块设计</w:t>
      </w:r>
    </w:p>
    <w:p w14:paraId="698D2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/>
          <w:lang w:val="en-US" w:eastAsia="zh-CN"/>
        </w:rPr>
      </w:pPr>
      <w:r>
        <w:t>智能视觉组搭载了多个视觉模块和驱动电机，系统瞬时功耗较大，且视觉识别对电源纯净度极为敏感。因此，我们为</w:t>
      </w:r>
      <w:r>
        <w:rPr>
          <w:b/>
          <w:bCs/>
        </w:rPr>
        <w:t>3S（标称11.1V，满电12.6V）锂电池</w:t>
      </w:r>
      <w:r>
        <w:t>设计了一套 </w:t>
      </w:r>
      <w:r>
        <w:rPr>
          <w:b/>
          <w:bCs/>
        </w:rPr>
        <w:t>“DC-DC降压 + 负载开关时序控制 + LDO精细降噪”</w:t>
      </w:r>
      <w:r>
        <w:t> 的三级供电架构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如下图所示。</w:t>
      </w:r>
    </w:p>
    <w:p w14:paraId="5ACC6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drawing>
          <wp:inline distT="0" distB="0" distL="114300" distR="114300">
            <wp:extent cx="4782820" cy="4758690"/>
            <wp:effectExtent l="0" t="0" r="508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475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EB1E">
      <w:pPr>
        <w:pStyle w:val="11"/>
        <w:bidi w:val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图4-1电源模块原理图</w:t>
      </w:r>
    </w:p>
    <w:p w14:paraId="683DE4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b/>
          <w:bCs/>
        </w:rPr>
        <w:t>第一级降压（DC-DC主降压）：</w:t>
      </w:r>
      <w:r>
        <w:t> 采用 </w:t>
      </w:r>
      <w:r>
        <w:rPr>
          <w:b/>
          <w:bCs/>
        </w:rPr>
        <w:t>OC5820</w:t>
      </w:r>
      <w:r>
        <w:t> 同步降压芯片，将电池电压高效率地转换为 </w:t>
      </w:r>
      <w:r>
        <w:rPr>
          <w:b/>
          <w:bCs/>
        </w:rPr>
        <w:t>5V</w:t>
      </w:r>
      <w:r>
        <w:t> 总线电压。OC5820具备宽电压输入和大电流输出能力，为系统提供充足的功率储备。</w:t>
      </w:r>
    </w:p>
    <w:p w14:paraId="296A5F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b/>
          <w:bCs/>
        </w:rPr>
        <w:t>第二级供电与时序控制（外设保护）：</w:t>
      </w:r>
      <w:r>
        <w:t> 在5V供电支路上，引入了 </w:t>
      </w:r>
      <w:r>
        <w:rPr>
          <w:b/>
          <w:bCs/>
        </w:rPr>
        <w:t>SY6280</w:t>
      </w:r>
      <w:r>
        <w:t> 负载开关芯片。由于OpenART等模块在上电瞬间会产生浪涌电流，SY6280具备过流保护和软启动功能，我们通过硬件设计实现了</w:t>
      </w:r>
      <w:r>
        <w:rPr>
          <w:b/>
          <w:bCs/>
        </w:rPr>
        <w:t>外设上电时序控制</w:t>
      </w:r>
      <w:r>
        <w:t>，确保系统稳定后再开启外设供电，避免电流尖峰导致主控复位。</w:t>
      </w:r>
    </w:p>
    <w:p w14:paraId="70EB86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b/>
          <w:bCs/>
        </w:rPr>
        <w:t>第三级降噪（LDO纯净供电）：</w:t>
      </w:r>
      <w:r>
        <w:t> 对于RT1064核心板、姿态传感器等对噪声敏感的元器件，我们在5V后级联了 </w:t>
      </w:r>
      <w:r>
        <w:rPr>
          <w:b/>
          <w:bCs/>
        </w:rPr>
        <w:t>RT9013</w:t>
      </w:r>
      <w:r>
        <w:t> 低压差线性稳压器（LDO），输出纯净的 </w:t>
      </w:r>
      <w:r>
        <w:rPr>
          <w:b/>
          <w:bCs/>
        </w:rPr>
        <w:t>3.3V</w:t>
      </w:r>
      <w:r>
        <w:t> 供电，确保核心控制芯片和传感器在复杂电磁环境下能稳定工作。</w:t>
      </w:r>
    </w:p>
    <w:p w14:paraId="022AA0D6">
      <w:pPr>
        <w:rPr>
          <w:b/>
          <w:bCs/>
        </w:rPr>
      </w:pPr>
    </w:p>
    <w:p w14:paraId="7483885C">
      <w:pPr>
        <w:rPr>
          <w:b/>
          <w:bCs/>
        </w:rPr>
      </w:pPr>
    </w:p>
    <w:p w14:paraId="1AE692EB">
      <w:pPr>
        <w:rPr>
          <w:b/>
          <w:bCs/>
        </w:rPr>
      </w:pPr>
      <w:r>
        <w:rPr>
          <w:b/>
          <w:bCs/>
        </w:rPr>
        <w:t>4.4 传感器与信号采集模块</w:t>
      </w:r>
    </w:p>
    <w:p w14:paraId="1A9F0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t>针对视觉组多目标识别与精准推箱的需求，本车搭载了多类传感器，并由底板提供统一接口：</w:t>
      </w:r>
    </w:p>
    <w:p w14:paraId="61AABD6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b/>
          <w:bCs/>
        </w:rPr>
        <w:t>视觉传感器接口</w:t>
      </w:r>
      <w:r>
        <w:t>：板载了</w:t>
      </w:r>
      <w:r>
        <w:rPr>
          <w:b/>
          <w:bCs/>
        </w:rPr>
        <w:t>2路 OpenART 视觉模块接口（包含1个 OpenART Mini 和1个 OpenART Plus）</w:t>
      </w:r>
      <w:r>
        <w:t>。OpenART模块分别承担定位与图像识别的任务，两者通过独立的UART串口与RT1064主控通信，有效避免多路并发数据串扰。</w:t>
      </w:r>
    </w:p>
    <w:p w14:paraId="6E3111A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b/>
          <w:bCs/>
        </w:rPr>
        <w:t>姿态传感器</w:t>
      </w:r>
      <w:r>
        <w:t>：板载高精度六轴陀螺仪加速度计，通过SPI总线通信，辅助车模在推进和转向时锁定偏航角，确保车姿稳定。</w:t>
      </w:r>
    </w:p>
    <w:p w14:paraId="6B7F097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hint="eastAsia"/>
          <w:b/>
          <w:bCs/>
        </w:rPr>
        <w:t>正交编码</w:t>
      </w:r>
      <w:r>
        <w:rPr>
          <w:b/>
          <w:bCs/>
        </w:rPr>
        <w:t>器</w:t>
      </w:r>
      <w:r>
        <w:t>：预留了</w:t>
      </w:r>
      <w:r>
        <w:rPr>
          <w:b/>
          <w:bCs/>
        </w:rPr>
        <w:t>编码器接口</w:t>
      </w:r>
      <w:r>
        <w:t>用以实现速度闭环控制；</w:t>
      </w:r>
      <w:r>
        <w:rPr>
          <w:rFonts w:hint="eastAsia"/>
        </w:rPr>
        <w:t>用正交编码器构建里程计，支持惯性导航与位置估算</w:t>
      </w:r>
    </w:p>
    <w:p w14:paraId="2E4A08D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4.5 电机驱动与执行机构</w:t>
      </w:r>
    </w:p>
    <w:p w14:paraId="1DFBCD28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针对本次使用的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M车模（全向移动底盘）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，动力执行部分采用了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块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DRV8701栅极驱动芯片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构成的双路驱动方案。每个DRV8701芯片驱动对应一侧的功率MOSFET（H桥电路）。RT1064主控通过产生高频PWM信号与DIR方向电平信号，独立控制左右两路驱动模块，进而精准控制M车模的电机转速与转向。结合M车模麦克纳姆轮的特性，通过左右轮差速算法，实现车模的全向移动、旋转和精准平移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驱动板原理图如下图所示</w:t>
      </w:r>
    </w:p>
    <w:p w14:paraId="7BAF1D74">
      <w:pPr>
        <w:pStyle w:val="1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60" w:lineRule="auto"/>
        <w:ind w:left="0" w:right="0" w:firstLine="480" w:firstLineChars="200"/>
        <w:textAlignment w:val="auto"/>
      </w:pPr>
      <w:r>
        <w:drawing>
          <wp:inline distT="0" distB="0" distL="114300" distR="114300">
            <wp:extent cx="5272405" cy="3261360"/>
            <wp:effectExtent l="0" t="0" r="1079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9BE0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图4-2 drv8701驱动板原理图</w:t>
      </w:r>
    </w:p>
    <w:p w14:paraId="1372EA07">
      <w:pPr>
        <w:rPr>
          <w:rFonts w:hint="eastAsia"/>
        </w:rPr>
      </w:pPr>
    </w:p>
    <w:p w14:paraId="4298B89B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  <w:lang w:val="en-US" w:eastAsia="zh-CN"/>
        </w:rPr>
        <w:t>五</w:t>
      </w:r>
      <w:r>
        <w:rPr>
          <w:rFonts w:hint="eastAsia"/>
          <w:b/>
          <w:bCs/>
          <w:sz w:val="28"/>
          <w:szCs w:val="28"/>
        </w:rPr>
        <w:t xml:space="preserve">章 </w:t>
      </w:r>
      <w:r>
        <w:rPr>
          <w:rFonts w:hint="eastAsia"/>
          <w:b/>
          <w:bCs/>
          <w:sz w:val="28"/>
          <w:szCs w:val="28"/>
          <w:lang w:val="en-US" w:eastAsia="zh-CN"/>
        </w:rPr>
        <w:t>机械结构</w:t>
      </w:r>
      <w:r>
        <w:rPr>
          <w:rFonts w:hint="eastAsia"/>
          <w:b/>
          <w:bCs/>
          <w:sz w:val="28"/>
          <w:szCs w:val="28"/>
        </w:rPr>
        <w:t>设计及实现</w:t>
      </w:r>
    </w:p>
    <w:p w14:paraId="05B078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5.1 摄像头与屏幕的安装和固定</w:t>
      </w:r>
    </w:p>
    <w:p w14:paraId="31C223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定制碳素板，分别将其固定在碳素板上，采用上下结构，如下图所示</w:t>
      </w:r>
    </w:p>
    <w:p w14:paraId="673FAE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drawing>
          <wp:inline distT="0" distB="0" distL="114300" distR="114300">
            <wp:extent cx="5272405" cy="4024630"/>
            <wp:effectExtent l="0" t="0" r="0" b="0"/>
            <wp:docPr id="3" name="图片 3" descr="9e2e78f9cadec3edc373283738a4e7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e2e78f9cadec3edc373283738a4e7e4"/>
                    <pic:cNvPicPr>
                      <a:picLocks noChangeAspect="1"/>
                    </pic:cNvPicPr>
                  </pic:nvPicPr>
                  <pic:blipFill>
                    <a:blip r:embed="rId6"/>
                    <a:srcRect t="14685" r="-109" b="2800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D5C1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图5-1摄像头和屏幕放置图</w:t>
      </w:r>
    </w:p>
    <w:p w14:paraId="3E6F54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5.2 电池的放置</w:t>
      </w:r>
    </w:p>
    <w:p w14:paraId="4D919B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用塑料螺柱把屏幕碳素板架高和固定，将电池放置在其中，效果如下图所示</w:t>
      </w:r>
    </w:p>
    <w:p w14:paraId="49F0C5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drawing>
          <wp:inline distT="0" distB="0" distL="114300" distR="114300">
            <wp:extent cx="1979295" cy="4745990"/>
            <wp:effectExtent l="0" t="0" r="3810" b="1905"/>
            <wp:docPr id="4" name="图片 4" descr="8f97c5c5d0f4d3459c8b0b55a7915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f97c5c5d0f4d3459c8b0b55a7915177"/>
                    <pic:cNvPicPr>
                      <a:picLocks noChangeAspect="1"/>
                    </pic:cNvPicPr>
                  </pic:nvPicPr>
                  <pic:blipFill>
                    <a:blip r:embed="rId7"/>
                    <a:srcRect l="40198" t="16403" r="22221" b="160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7929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E9BB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图5-2 电池放置图</w:t>
      </w:r>
    </w:p>
    <w:p w14:paraId="2E94AE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5.3 电路板的安装和固定</w:t>
      </w:r>
    </w:p>
    <w:p w14:paraId="42F09D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eastAsia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主板固定在摄像头碳素板另一面，驱动板分别固定在车前和车后</w:t>
      </w:r>
    </w:p>
    <w:p w14:paraId="5C5962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jc w:val="center"/>
        <w:textAlignment w:val="auto"/>
        <w:rPr>
          <w:rFonts w:hint="default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drawing>
          <wp:inline distT="0" distB="0" distL="114300" distR="114300">
            <wp:extent cx="4305300" cy="3342005"/>
            <wp:effectExtent l="0" t="0" r="0" b="0"/>
            <wp:docPr id="5" name="图片 5" descr="5859d393e9cd42b2b9a49d70e5f761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859d393e9cd42b2b9a49d70e5f761b0"/>
                    <pic:cNvPicPr>
                      <a:picLocks noChangeAspect="1"/>
                    </pic:cNvPicPr>
                  </pic:nvPicPr>
                  <pic:blipFill>
                    <a:blip r:embed="rId8"/>
                    <a:srcRect l="7288" t="14569" r="10769" b="6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F952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图5-3 主板放置图</w:t>
      </w:r>
    </w:p>
    <w:p w14:paraId="43F6C763">
      <w:pPr>
        <w:rPr>
          <w:rFonts w:hint="default"/>
          <w:lang w:val="en-US" w:eastAsia="zh-CN"/>
        </w:rPr>
      </w:pPr>
    </w:p>
    <w:p w14:paraId="332FD3F7">
      <w:pPr>
        <w:pStyle w:val="11"/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1925" cy="3035935"/>
            <wp:effectExtent l="0" t="0" r="0" b="0"/>
            <wp:docPr id="7" name="图片 7" descr="5be265af0bb439bb9df79bbd3f4da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be265af0bb439bb9df79bbd3f4da970"/>
                    <pic:cNvPicPr>
                      <a:picLocks noChangeAspect="1"/>
                    </pic:cNvPicPr>
                  </pic:nvPicPr>
                  <pic:blipFill>
                    <a:blip r:embed="rId9"/>
                    <a:srcRect t="36857" r="470" b="19911"/>
                    <a:stretch>
                      <a:fillRect/>
                    </a:stretch>
                  </pic:blipFill>
                  <pic:spPr>
                    <a:xfrm>
                      <a:off x="0" y="0"/>
                      <a:ext cx="52419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BD2C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图5-4 驱动放置图1</w:t>
      </w:r>
    </w:p>
    <w:p w14:paraId="3CDEDF03">
      <w:pPr>
        <w:rPr>
          <w:rFonts w:hint="default"/>
          <w:lang w:val="en-US" w:eastAsia="zh-CN"/>
        </w:rPr>
      </w:pPr>
    </w:p>
    <w:p w14:paraId="37E86310">
      <w:pPr>
        <w:rPr>
          <w:rFonts w:hint="default"/>
          <w:lang w:val="en-US" w:eastAsia="zh-CN"/>
        </w:rPr>
      </w:pPr>
    </w:p>
    <w:p w14:paraId="07A984BC">
      <w:pPr>
        <w:rPr>
          <w:rFonts w:hint="default"/>
          <w:lang w:val="en-US" w:eastAsia="zh-CN"/>
        </w:rPr>
      </w:pPr>
    </w:p>
    <w:p w14:paraId="328F35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269490"/>
            <wp:effectExtent l="0" t="0" r="2540" b="3810"/>
            <wp:docPr id="8" name="图片 8" descr="8a8270eaab3e24e8a8c41ab06f4c18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a8270eaab3e24e8a8c41ab06f4c18a0"/>
                    <pic:cNvPicPr>
                      <a:picLocks noChangeAspect="1"/>
                    </pic:cNvPicPr>
                  </pic:nvPicPr>
                  <pic:blipFill>
                    <a:blip r:embed="rId10"/>
                    <a:srcRect t="33366" r="-24" b="343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4E01">
      <w:pPr>
        <w:pStyle w:val="1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图5-5 驱动放置图2</w:t>
      </w:r>
    </w:p>
    <w:p w14:paraId="24AF4471">
      <w:pPr>
        <w:rPr>
          <w:rFonts w:hint="default"/>
          <w:lang w:val="en-US" w:eastAsia="zh-CN"/>
        </w:rPr>
      </w:pPr>
    </w:p>
    <w:p w14:paraId="14B776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5.4 顶层标识牌的固定</w:t>
      </w:r>
    </w:p>
    <w:p w14:paraId="78BA34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0" w:firstLineChars="200"/>
        <w:textAlignment w:val="auto"/>
        <w:rPr>
          <w:rFonts w:hint="default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定制30*15mm相同尺寸的碳素板，用铜柱架起来固定</w:t>
      </w:r>
    </w:p>
    <w:p w14:paraId="3AFB5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02" w:firstLineChars="200"/>
        <w:textAlignment w:val="auto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5.5 车模总体结构图</w:t>
      </w:r>
    </w:p>
    <w:p w14:paraId="2FFF9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车模采用主驱分离一块主板两块驱动的方案，整体效果如下图所示</w:t>
      </w:r>
    </w:p>
    <w:p w14:paraId="2DBBD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36110" cy="2943860"/>
            <wp:effectExtent l="0" t="0" r="8890" b="2540"/>
            <wp:docPr id="6" name="图片 6" descr="d94df4f81f0704d2ce4e956805aa6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94df4f81f0704d2ce4e956805aa60c6"/>
                    <pic:cNvPicPr>
                      <a:picLocks noChangeAspect="1"/>
                    </pic:cNvPicPr>
                  </pic:nvPicPr>
                  <pic:blipFill>
                    <a:blip r:embed="rId11"/>
                    <a:srcRect l="8968" t="-306" r="6599" b="25592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02E1">
      <w:pPr>
        <w:pStyle w:val="1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图5-6 整体效果图</w:t>
      </w:r>
    </w:p>
    <w:p w14:paraId="24A22C08">
      <w:pPr>
        <w:pStyle w:val="2"/>
        <w:bidi w:val="0"/>
        <w:rPr>
          <w:rFonts w:hint="eastAsia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/>
          <w:color w:val="auto"/>
          <w:sz w:val="44"/>
          <w:szCs w:val="44"/>
          <w:lang w:val="en-US" w:eastAsia="zh-CN"/>
        </w:rPr>
        <w:t>附录</w:t>
      </w:r>
    </w:p>
    <w:p w14:paraId="61012A57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40"/>
          <w:szCs w:val="40"/>
          <w:lang w:val="en-US" w:eastAsia="zh-CN"/>
        </w:rPr>
        <w:t>主板原理图</w:t>
      </w:r>
    </w:p>
    <w:p w14:paraId="4E861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0340" cy="3618865"/>
            <wp:effectExtent l="0" t="0" r="10160" b="635"/>
            <wp:docPr id="9" name="图片 9" descr="主板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主板原理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95EC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40"/>
          <w:szCs w:val="40"/>
          <w:lang w:val="en-US" w:eastAsia="zh-CN"/>
        </w:rPr>
        <w:t>驱动原理图</w:t>
      </w:r>
    </w:p>
    <w:p w14:paraId="264F09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734435"/>
            <wp:effectExtent l="0" t="0" r="1905" b="12065"/>
            <wp:docPr id="10" name="图片 10" descr="驱动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驱动原理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B0C9">
      <w:pPr>
        <w:rPr>
          <w:rFonts w:hint="eastAsia"/>
          <w:b/>
          <w:bCs/>
          <w:color w:val="auto"/>
          <w:sz w:val="40"/>
          <w:szCs w:val="40"/>
          <w:lang w:val="en-US" w:eastAsia="zh-CN"/>
        </w:rPr>
      </w:pPr>
      <w:r>
        <w:rPr>
          <w:rFonts w:hint="eastAsia"/>
          <w:b/>
          <w:bCs/>
          <w:color w:val="auto"/>
          <w:sz w:val="40"/>
          <w:szCs w:val="40"/>
          <w:lang w:val="en-US" w:eastAsia="zh-CN"/>
        </w:rPr>
        <w:t>电路PCB图</w:t>
      </w:r>
    </w:p>
    <w:p w14:paraId="4BBC45FA">
      <w:pPr>
        <w:rPr>
          <w:rFonts w:hint="default"/>
          <w:b w:val="0"/>
          <w:bCs w:val="0"/>
          <w:color w:val="auto"/>
          <w:sz w:val="40"/>
          <w:szCs w:val="40"/>
          <w:lang w:val="en-US" w:eastAsia="zh-CN"/>
        </w:rPr>
      </w:pPr>
      <w:r>
        <w:rPr>
          <w:rFonts w:hint="eastAsia"/>
          <w:b w:val="0"/>
          <w:bCs w:val="0"/>
          <w:color w:val="auto"/>
          <w:sz w:val="40"/>
          <w:szCs w:val="40"/>
          <w:lang w:val="en-US" w:eastAsia="zh-CN"/>
        </w:rPr>
        <w:t>主板pcb</w:t>
      </w:r>
    </w:p>
    <w:p w14:paraId="7620184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40760" cy="5105400"/>
            <wp:effectExtent l="0" t="0" r="0" b="2540"/>
            <wp:docPr id="15" name="图片 15" descr="9797f1ab0b31f34ef8743db4c07740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9797f1ab0b31f34ef8743db4c07740af"/>
                    <pic:cNvPicPr>
                      <a:picLocks noChangeAspect="1"/>
                    </pic:cNvPicPr>
                  </pic:nvPicPr>
                  <pic:blipFill>
                    <a:blip r:embed="rId14"/>
                    <a:srcRect l="13203" t="19427" r="19624" b="795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4076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AEA6AAD">
      <w:pPr>
        <w:rPr>
          <w:rFonts w:hint="default"/>
          <w:b w:val="0"/>
          <w:bCs w:val="0"/>
          <w:color w:val="auto"/>
          <w:sz w:val="40"/>
          <w:szCs w:val="40"/>
          <w:lang w:val="en-US" w:eastAsia="zh-CN"/>
        </w:rPr>
      </w:pPr>
      <w:r>
        <w:rPr>
          <w:rFonts w:hint="eastAsia"/>
          <w:b w:val="0"/>
          <w:bCs w:val="0"/>
          <w:color w:val="auto"/>
          <w:sz w:val="40"/>
          <w:szCs w:val="40"/>
          <w:lang w:val="en-US" w:eastAsia="zh-CN"/>
        </w:rPr>
        <w:t>驱动pcb</w:t>
      </w:r>
    </w:p>
    <w:p w14:paraId="46B7CFDC">
      <w:pPr>
        <w:jc w:val="center"/>
        <w:rPr>
          <w:rFonts w:hint="default"/>
          <w:lang w:val="en-US" w:eastAsia="zh-CN"/>
        </w:rPr>
      </w:pPr>
    </w:p>
    <w:p w14:paraId="607F90F5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33675" cy="4170680"/>
            <wp:effectExtent l="0" t="0" r="7620" b="9525"/>
            <wp:docPr id="17" name="图片 17" descr="0a87a4f765d6d4c2371bca73e73335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a87a4f765d6d4c2371bca73e73335ce"/>
                    <pic:cNvPicPr>
                      <a:picLocks noChangeAspect="1"/>
                    </pic:cNvPicPr>
                  </pic:nvPicPr>
                  <pic:blipFill>
                    <a:blip r:embed="rId15"/>
                    <a:srcRect l="14239" t="25334" r="33900" b="1534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3367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4C2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463E9"/>
    <w:multiLevelType w:val="multilevel"/>
    <w:tmpl w:val="034463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D19015C"/>
    <w:multiLevelType w:val="multilevel"/>
    <w:tmpl w:val="1D1901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D78"/>
    <w:rsid w:val="0044774C"/>
    <w:rsid w:val="005300D8"/>
    <w:rsid w:val="00B95443"/>
    <w:rsid w:val="00B96D78"/>
    <w:rsid w:val="00CA75BA"/>
    <w:rsid w:val="00F163AC"/>
    <w:rsid w:val="00F873C3"/>
    <w:rsid w:val="09985576"/>
    <w:rsid w:val="0E1D6918"/>
    <w:rsid w:val="0E6A7DF0"/>
    <w:rsid w:val="117546BA"/>
    <w:rsid w:val="210743EB"/>
    <w:rsid w:val="261E1AFA"/>
    <w:rsid w:val="26E061EA"/>
    <w:rsid w:val="27427B52"/>
    <w:rsid w:val="27896EEB"/>
    <w:rsid w:val="2B350440"/>
    <w:rsid w:val="2BEA0B91"/>
    <w:rsid w:val="2C2220D9"/>
    <w:rsid w:val="2D8D4EED"/>
    <w:rsid w:val="2EE31FF3"/>
    <w:rsid w:val="317B03C0"/>
    <w:rsid w:val="31D729D3"/>
    <w:rsid w:val="3E954CCA"/>
    <w:rsid w:val="40A73721"/>
    <w:rsid w:val="43C528E9"/>
    <w:rsid w:val="44714620"/>
    <w:rsid w:val="4571483E"/>
    <w:rsid w:val="469453B8"/>
    <w:rsid w:val="49C338AE"/>
    <w:rsid w:val="4BD26531"/>
    <w:rsid w:val="4FA755E3"/>
    <w:rsid w:val="50636531"/>
    <w:rsid w:val="537806AC"/>
    <w:rsid w:val="555E38D2"/>
    <w:rsid w:val="56CB72F5"/>
    <w:rsid w:val="584E16CC"/>
    <w:rsid w:val="5D127688"/>
    <w:rsid w:val="60B22A8D"/>
    <w:rsid w:val="61AE517C"/>
    <w:rsid w:val="61E327ED"/>
    <w:rsid w:val="65CA788D"/>
    <w:rsid w:val="67B3068B"/>
    <w:rsid w:val="69CE50EC"/>
    <w:rsid w:val="6A8D7D74"/>
    <w:rsid w:val="6ED20C37"/>
    <w:rsid w:val="6FA64291"/>
    <w:rsid w:val="70434C25"/>
    <w:rsid w:val="721A68F3"/>
    <w:rsid w:val="730C20CE"/>
    <w:rsid w:val="73F86CA2"/>
    <w:rsid w:val="741F3BF3"/>
    <w:rsid w:val="74347DE2"/>
    <w:rsid w:val="763149BF"/>
    <w:rsid w:val="778B00FF"/>
    <w:rsid w:val="784577AB"/>
    <w:rsid w:val="78E0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yperlink"/>
    <w:basedOn w:val="15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1621</Words>
  <Characters>1904</Characters>
  <Lines>10</Lines>
  <Paragraphs>2</Paragraphs>
  <TotalTime>0</TotalTime>
  <ScaleCrop>false</ScaleCrop>
  <LinksUpToDate>false</LinksUpToDate>
  <CharactersWithSpaces>1969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2026-08-11T11:04:00Z</dcterms:created>
  <dc:creator>婉婷 龚</dc:creator>
  <cp:lastModifiedBy>忞 杰</cp:lastModifiedBy>
  <dcterms:modified xsi:type="dcterms:W3CDTF">2026-08-13T12:15:21Z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eyJoZGlkIjoiNzYzNDRjMDczMjEyZmRhMTVlZjE4NGI4NmEyNmU2NzciLCJ1c2VySWQiOiIxNTkzNzEzNTk2In0=</vt:lpwstr>
  </property>
  <property fmtid="{D5CDD505-2E9C-101B-9397-08002B2CF9AE}" pid="3" name="KSOProductBuildVer">
    <vt:lpwstr>2052-12.1.0.28043</vt:lpwstr>
  </property>
  <property fmtid="{D5CDD505-2E9C-101B-9397-08002B2CF9AE}" pid="4" name="ICV">
    <vt:lpwstr>6757AE18DF3D45DB8BB0899211BE1CF3_12</vt:lpwstr>
  </property>
</Properties>
</file>