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DEA3C04">
      <w:pPr>
        <w:keepNext w:val="0"/>
        <w:keepLines w:val="0"/>
        <w:widowControl/>
        <w:suppressLineNumbers w:val="0"/>
        <w:spacing w:before="10" w:beforeAutospacing="0" w:after="10" w:afterAutospacing="0" w:line="500" w:lineRule="atLeast"/>
        <w:ind w:left="0" w:right="0"/>
        <w:jc w:val="center"/>
        <w:rPr>
          <w:rFonts w:ascii="SimHei" w:hAnsi="SimSun" w:eastAsia="SimHei" w:cs="SimHei"/>
          <w:sz w:val="36"/>
          <w:szCs w:val="36"/>
        </w:rPr>
      </w:pPr>
      <w:r>
        <w:rPr>
          <w:rFonts w:hint="eastAsia" w:ascii="SimHei" w:hAnsi="SimSun" w:eastAsia="SimHei" w:cs="SimHei"/>
          <w:sz w:val="36"/>
          <w:szCs w:val="36"/>
        </w:rPr>
        <w:t>湖北省荆州市中级人民法院</w:t>
      </w:r>
    </w:p>
    <w:p w14:paraId="29418A54">
      <w:pPr>
        <w:keepNext w:val="0"/>
        <w:keepLines w:val="0"/>
        <w:widowControl/>
        <w:suppressLineNumbers w:val="0"/>
        <w:spacing w:before="10" w:beforeAutospacing="0" w:after="10" w:afterAutospacing="0" w:line="500" w:lineRule="atLeast"/>
        <w:ind w:left="0" w:right="0"/>
        <w:jc w:val="center"/>
        <w:rPr>
          <w:rFonts w:hint="eastAsia" w:ascii="SimHei" w:hAnsi="SimSun" w:eastAsia="SimHei" w:cs="SimHei"/>
          <w:sz w:val="36"/>
          <w:szCs w:val="36"/>
        </w:rPr>
      </w:pPr>
      <w:r>
        <w:rPr>
          <w:rFonts w:hint="eastAsia" w:ascii="SimHei" w:hAnsi="SimSun" w:eastAsia="SimHei" w:cs="SimHei"/>
          <w:sz w:val="36"/>
          <w:szCs w:val="36"/>
        </w:rPr>
        <w:t>民 事 判 决 书</w:t>
      </w:r>
    </w:p>
    <w:p w14:paraId="5B88BD02">
      <w:pPr>
        <w:keepNext w:val="0"/>
        <w:keepLines w:val="0"/>
        <w:widowControl/>
        <w:suppressLineNumbers w:val="0"/>
        <w:spacing w:before="10" w:beforeAutospacing="0" w:after="10" w:afterAutospacing="0" w:line="500" w:lineRule="atLeast"/>
        <w:ind w:left="0" w:right="0"/>
        <w:jc w:val="right"/>
        <w:rPr>
          <w:rFonts w:hint="eastAsia" w:ascii="SimSun" w:hAnsi="SimSun" w:eastAsia="SimSun" w:cs="SimSun"/>
          <w:sz w:val="30"/>
          <w:szCs w:val="30"/>
        </w:rPr>
      </w:pPr>
      <w:r>
        <w:rPr>
          <w:rFonts w:hint="eastAsia" w:ascii="SimSun" w:hAnsi="SimSun" w:eastAsia="SimSun" w:cs="SimSun"/>
          <w:sz w:val="30"/>
          <w:szCs w:val="30"/>
        </w:rPr>
        <w:t>（2023）鄂10民终1485号</w:t>
      </w:r>
    </w:p>
    <w:p w14:paraId="15C7B37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上诉人（原审原告）：万某道，男，1987年11月8日出生，汉族，住监利市。</w:t>
      </w:r>
    </w:p>
    <w:p w14:paraId="21930AA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委托诉讼代理人：张欢，湖北京百泽律师事务所律师。</w:t>
      </w:r>
    </w:p>
    <w:p w14:paraId="1BEEA42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上诉人（原审被告）：丁某雄，男，1992年11月15日出生，汉族，住监利市。</w:t>
      </w:r>
    </w:p>
    <w:p w14:paraId="1D4CBC90">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上诉人（原审被告）：丁某国，男，1986年10月23日出生，汉族，住监利市。</w:t>
      </w:r>
    </w:p>
    <w:p w14:paraId="408EDD9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上列二上诉人共同委托诉讼代理人：王某广，男，1981年10月8日出生，汉族，住监利市，系两上诉人的姑舅老表。</w:t>
      </w:r>
    </w:p>
    <w:p w14:paraId="54DD66A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万某道、丁某雄、丁某国因生命权、身体权、健康权纠纷一案，不服湖北省监利市人民法院（2023）鄂1023民初1486号民事判决，向本院提出上诉。本院于2023年5月29日立案后，依法组成合议庭进行了审理。本案现已审理终结。</w:t>
      </w:r>
    </w:p>
    <w:p w14:paraId="5CBBF8D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万某道上诉请求：1、撤销原判决，改判两被上诉人共同赔偿上诉人各项损失15762.15元（不服金额为3793.33元）；2、本案的一审、二审诉讼费用由两被上诉人承担。事实和理由：一、一审认定上诉人所遭受的误工损失不当，适用法律错误。上诉人受伤前从事蔬菜零售，且向一审提交了经营蔬菜零售的个体工商户营业执照、租房合同等证据，足以证实上诉人在受伤前所从事的行业为批发零售业。根据《最高人民法院关于审理人身损害XXXX适用法律若干问题的解释》第七条“误工费根据受害人的误工时间和收入状况确定，受害人有固定收入的，误工费按照实际减少的收入计算。受害人无固定收入的，按照其最近三年的平均收入计算；受害人不能举证证明其最近三年的平均收入状况的，可以参照受诉法院所在地相同或者相近行业上一年度职工的平均工资计算”的规定，误工费的计算应根据受害人受伤前的近三年的平均收入状况来计算。因本案无法确定上诉人受伤前近三年的平均收入状况，对本案误工费的计算应参照上诉人所属的批发零售行业的收入标准来计算。但一审错误认为在上诉人受伤期间，其店铺被丁翩转让后上诉人不能再从事蔬菜批发零售而以居民服务业的收入标准来认定上诉人的误工损失，即一审法院错误地以上诉人受伤期间店铺被丁翩转让后上诉人无法继续从事批发零售的事实作为上诉人所遭受误工损失的依据，明显存在适用法律错误。此外，即使一审以店铺是否转让作为计算上诉人遭受误工损失的依据是正确的，一审在认定上诉人所遭受的误工损失时也未考虑到上诉人从受伤之日起至丁翩转让店铺之日止的过渡期间应以批发零售业的收入标准作为该期间的误工费计算的标准，且一审也未查明丁翩转让店铺的具体时间。因此，一审法院在认定上诉人的误工损失时存在明显不当。二、一审错误认定上诉人对自身损失承担20%的责任。一审未经丁翩认可即以被上诉人的一面之词认定上诉人对丁翩实施了家暴行为明显存在不当。而事实上，上诉人与丁翩发生矛盾是因丁翩先打上诉人耳光，上诉人才与其发生冲突。两被上诉人不分对错，故意泄私愤，到上诉人家里耍横、逞强，在破门而入后对上诉人进行殴打，造成上诉人受伤的事实。而按照一审的裁判观点，丁翩应对本案冲突的发生存在过错。此外，即使一审认定上诉人与丁翩的冲突是上诉人对丁翩实施了家暴，但丁翩或作为其亲属的两被上诉人可以通过向人民法院申请人身安全保护令，向公安机关报警请求出具反家暴告诫书，甚至可以通过向妇联寻求帮助等合法途径来维护自身权益。两被上诉人作为上诉人和丁翩婚姻关系之外的局外人更不能对上诉人动用私刑。因此，即使上诉人对丁翩实施了家暴行为，该行为与两被上诉人对上诉人进行殴打的行为并不存在法律上的直接因果关系，两被上诉人对上诉人的殴打行为实质上就是两被上诉人为报复、泄私愤、要横的故意伤害上诉人的侵权行为，上诉人自身不应对本案的损害承担任何责任。</w:t>
      </w:r>
    </w:p>
    <w:p w14:paraId="61F2A50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丁某雄、丁某国针对上诉人万某道的上诉请求辩称，对万某道的上诉请求不予承认。万某道殴打丁翩有依据，有报过警，丁某国没有参与殴打行为。丁某雄去万某道家产生纠纷的主要原因在于万某道的母亲。万某道的母亲说万某道不在家，丁某雄才去二楼找万某道。关于万某道说，就算丁翩被家暴，也不应当上门问情况，不认可。关于误工费，他们产生互殴之后，称店面转让与这件事无任何因果关系。万某道住院的情况，自己提供的证据是2月2日，出院是2月10日，他提交的油费发票，分别是2月9日和2月23日，他在住院期间是怎么出去开车加油的。他们产生纠纷之后，第一时间报警人是丁某雄，这些都是有记录的。</w:t>
      </w:r>
    </w:p>
    <w:p w14:paraId="12E56D5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丁某雄上诉请求：撤销对万某道赔偿鉴定费3140元和误工费4074.41元。事实和理由：上诉人与被上诉人事件发生后，店面已转让，属无业游民，不存在什么误工费。无故扩大医疗费用，上次开庭，万某道称自己开车去武汉鉴定，无伤鉴定还要三千多元，这不符合常理，说不清地点、时间，自己能开车，而不是叫120，这足以说明他身体健康，哪里需要住院，这就是走关系挂床。另外，对方律师所说的入侵是不存在的。因为他家暴我姐，我去我姐家找他理论，他躲着不见我，一楼大门本来就是坏的，他躲着不见，我不得已才把二楼门踢开，理论不合之后导致互殴，而且下楼后，万某道找来同伙，掐我脖子，打我一拳，还拿刀恐吓，我已触犯到法律，有犯罪行为，要万某道交出同伙，对他方人员进行行政处罚。我和我堂哥、我残疾的母亲都受到了行政处罚，事情发生后，我主动报警而且联系万某道赔偿，多次找人与他沟通，他躲起来拒绝沟通，而现在以一种极端的方式请来律师，搞一些发票来告我，但我始终相信，法律是公正的，不是拿张发票就说住院了，要一系列的赔偿，请求法院重审。</w:t>
      </w:r>
    </w:p>
    <w:p w14:paraId="1203301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丁某国上诉请求：撤销对万某道赔偿鉴定费3140元和误工费4074.41元。事实和理由：事情起因，万某道家暴开始，我和我堂弟找他理论，双方都比较激烈，万某道把我手弄骨折，手指费用花费了一万左右，因为受伤一个月没做事，我所开的面馆，请人开店，念及亲情关系，都没有找他。而且，万某道住院资料不完整，这不能证明他是否真的住了8天的院，店面已转，无业游民，还索要误工费，无伤鉴定还要三千多元，鉴定时间、地点，说的东倒西歪，让人怀疑他的真实性，请求法律重审。</w:t>
      </w:r>
    </w:p>
    <w:p w14:paraId="36CD08B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万某道针对上诉人丁某雄、丁某国的上诉请求辩称，万某道提交的监利市公安局关于丁某国、丁某雄殴打万某道的案卷以及行政处罚决定书，可以证实丁某雄、丁某国对万某道实施了殴打行为，造成了一定的损害。万某道经监利市捷诚法医司法鉴定所认定所受伤构成轻微伤，经湖北诚信司法鉴定所认定万某道所受伤后续医疗费为2000元，鉴定了相应的护理期、营养期和误工期，两项鉴定均是有资质的鉴定机构作出的，丁某雄、丁某国在一审中并未对鉴定提出异议，两项鉴定与本案具有关联性，上诉人因做该两项必要鉴定支出的费用属于实际支出的必要费用，根据相关法律规定应当予以支持。对于误工费，鉴定机构作出了一个月的认定，参照上诉人受伤的事实，应当支持上诉人因受伤减少的误工损失。针对丁某国手指受伤，根据现场情况以及案卷内容可以证实，丁某国在万某道家二楼破门而入时，用拳头砸门，造成自伤，应由自己承担。关于丁翩转让店铺，丁翩在其弟弟丁某雄殴打完上诉人后，出于报复的心理以及转移财产的需要，与其本家的亲戚恶意串通将登记在万某道名下的店铺进行转让，损害万某道的合法权益。根据相关法律规定，误工期不是以受伤后上诉人可从事的店铺不存在作为计算误工费的依据，对于上诉人的误工费应当予以支持。两上诉人至今对万某道不进行赔偿，也未赔礼道歉，反而多次威胁万某道，在万某道进行刑事诉讼中，要烧掉万某道的家，明显就是故意耍横的行为，其上诉请求不应当支持。</w:t>
      </w:r>
    </w:p>
    <w:p w14:paraId="251FB1E8">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万某道向一审法院起诉请求：1、请求依法判决两被告共同赔偿原告医疗费、住院伙食补助费、护理费等各项损失合计18062.62元；2、本案诉讼费由两被告承担。</w:t>
      </w:r>
    </w:p>
    <w:p w14:paraId="6D69062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定事实：2023年1月31日上午，万某道因家务琐事与其妻丁翩发生争吵，其间万某道打伤了丁翩的鼻子。丁翩电话联系其母哭诉，丁某雄在别人家吃完酒席回来，听丁母诉说，觉得其姐丁翩被欺十分气愤，遂电话联系其堂兄即丁某国，欲上万某道家为丁翩问理。当日晚21时许，丁某雄、丁某国来到万某道家，四处寻找，在二楼遇到万某道，话不投机便打斗起来，其间丁某雄、丁某国用拳头击打万某道的头部和肩部等处，随后万某道的家人报警，警察赶赴现场制止事态。万某道被送往黄歇口镇卫生院住院治疗8天，花医药费2659.62元，出院诊断为：1、脑震荡，2、右侧筛窦炎。万某道经监利捷诚法医司法鉴定所鉴定伤情为轻微伤，又经湖北诚信司法鉴定所鉴定未达到伤残标准，误工期30日，护理期15日，营养期15日，后续治疗费2000元，花鉴定费3140元。丁某雄、丁某国被监利市公安局行政处罚，分别行政拘留10日并处罚款500元。</w:t>
      </w:r>
    </w:p>
    <w:p w14:paraId="5FF56FAC">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一审法院认为，自然人享有健康权，自然人的身心健康受法律保护，任何组织或者个人不得侵害他人的健康权。在本次纠纷中，丁某雄、丁某国用拳头击打万某道的头部和肩部等处，导致万某道头皮挫伤和身上软组织损伤，虽然其已受到公安机关的治安处罚，但其仍应承担赔偿责任。由于丁某雄、丁某国的共同侵权行为导致了万某道的损害后果，丁某雄、丁某国应承担共同赔偿责任。丁某国否认其实施了击打行为，一方面其未提供相应证据进行反驳，另方面公安机关已就此事进行了调查，并且治安处罚时已行文确认其侵权的事实，对于国家公文书证一审法院应确认其证明力，因此对于丁某国的抗辩理由不予采信。然而，万某道因家庭琐事家暴其妻丁翩，激起丁某雄、丁某国为其亲属丁翩上门问理，话不投机而泄愤，是本纠纷发生的起因，万某道存在一定过错，可以适当减轻丁某雄、丁某国的赔偿责任。综合本案案情可酌情确定原、被告在本纠纷中的责任比例为2﹕8。万某道因本次纠纷受伤所受损失范围为：1、医药费4659.62元(包括后续医疗费2000元)；2、护理费2037元(49572元/年÷365天×15天)；3、营养费450元(30元/天×15天)；4、住院伙食补助费400元(50元/天×8天)；5、鉴定费3140元；6、误工费4074.41元(49572元/元÷365天×30天)；7、交通费酌情确定200元，共计14961.03元。万某道主张损失数额为18062.62元，其中，误工费计算标准不能按万某道主张的批发、零售业的标准计算，万某道虽然提供了开店子的租房依据，但庭审时双方均认可事发后店子已转让，按开店子的情形计算误工费明显不妥，一审法院酌情按居民服务业标准计算；交通费有不实之处，一审法院酌情确定200元；门损2000元不属人身损害赔偿范围，庭审时万某道已撤回该方面的请求，一审法院应予准许。鉴于上述三方面的原因，一审法院仅对其据实合理的诉讼请求予以支持。至于被告方所提住院没有8天和有挂床一说，其未提供相应证据，不足为信。依照《中华人民共和国民法典》第一千零四条、第一千一百六十五条、第一千一百六十八条、第一千一百七十三条、第一千一百七十九条和《中华人民共和国民事诉讼法》第一百四十五条的规定，判决：一、由被告丁某雄、丁某国共同赔偿给原告万某道因本次纠纷受伤所受损失中的11968.82元(14961.03元×80%)，定于本判决生效后十日内一次性给付；二、驳回原告万某道的其他诉讼请求。如果未按本判决指定的期间履行给付金钱义务,应当依照《中华人民共和国民事诉讼法》第二百六十条之规定，加倍支付迟延履行期间的债务利息。本案本诉受理费500元，减半收取250元，由被告丁某雄、丁某国共同负担180元，原告万某道负担70元。</w:t>
      </w:r>
    </w:p>
    <w:p w14:paraId="06220C8B">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中，上诉人万某道提交一组证据：证据一，监利市人民医院耳鼻喉科2月9日的挂号单，拟证明2023年2月9日由万某道的妹妹开车将万某道送到监利市人民医院做耳鼻喉科的检查，所以产生了油费，而且两家医院之间开车不到半个小时。上诉人丁某雄、丁某国质证意见：在一审时，万某道和他的代理人也提到过油费的问题，当时我们持怀疑的态度，他自己当时能开车，身体应该是无恙的。一审中万某道的代理人陈述是万某道自己开车去做司法鉴定产生的，现在二审中又说是万某道的妹妹开车带他去监利市人民医院检查耳鼻喉科产生的油费，每一次说法都不一样，我们不认可。</w:t>
      </w:r>
    </w:p>
    <w:p w14:paraId="04E490DA">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上诉人丁某雄、丁某国提交一组证据：证据二，店铺转让协议和微信转账记录，拟证明丁某国、丁某雄与万某道互殴与丁翩转让店铺无关。上诉人万某道质证意见：丁某雄、丁某国对万某道殴打的时间是2023年1月31日晚上9点，按照其主张的店铺转让的时间是2023年2月3日，丁翩转让店铺的行为发生在殴打之后的第四天，两者之间存在明显的牵连关系，且转让店铺的价格过低，受让的对象是其本家的亲戚，可以看得出是损害了万某道的合法权益。因此达不到其证明目的。该证据的微信转账记录上打了很多码，不能证明丁翩收到4万元的转让费，我们是认可店铺转让的事实。</w:t>
      </w:r>
    </w:p>
    <w:p w14:paraId="418FFFF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对上述证据认证意见如下：证据一的真实性予以认可，但是证明目的与本案当事人争议焦点没有关联性，本院不予采信；证据二因丁某雄、丁某国未出示原件，本院对该组证据的真实性无法核实，故不予采信。</w:t>
      </w:r>
    </w:p>
    <w:p w14:paraId="3B7D538F">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二审查明的事实与一审认定的事实一致。</w:t>
      </w:r>
    </w:p>
    <w:p w14:paraId="566C5DF5">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本院认为，本案二审的争议焦点为：一审支持万某道误工费、鉴定费是否正确；一审认定责任比例是否正确。</w:t>
      </w:r>
    </w:p>
    <w:p w14:paraId="25CB535D">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关于误工费。万某道被丁某雄、丁某国用拳头击打头部和肩部导致受伤，在黄歇口卫生院住院治疗，产生了误工损失，对其误工费应予支持。万某道主张按照批发和零售业标准计算误工费，为此提交了监利市小万蔬菜店企业信用信息公示报告和2020年10月10日房租收条。本院认为，该组证据不足以证明万某道在本案纠纷发生前参与蔬菜店经营，其主张按照批发和零售业标准计算误工费依据不足，一审按照居民服务业标准计算误工费并无不当。关于鉴定费。万某道受伤后先后在监利捷诚法医司法鉴定所、湖北诚信司法鉴定所进行损伤程度和伤残等级、误工期、护理期、营养期、后期治疗费等事项鉴定，并支付了鉴定费。该费用属于万某道为确定其损失而支付的必要合理费用，一审支持其鉴定费并无不当。关于责任比例。本案纠纷的起因系万某道未妥善处理与其妻丁翩的家庭矛盾产生暴力行为，丁某雄、丁某国作为丁翩的亲属亦未控制情绪寻求合法途径维护丁翩的权益，万某道、丁某雄、丁某国对本案纠纷的产生均有过错，一审综合考量各方过错认定责任比例2:8并无明显不当。</w:t>
      </w:r>
    </w:p>
    <w:p w14:paraId="3A541104">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综上，上诉人万某道、丁某雄、丁某国的上诉请求均不能成立，应予驳回。依照《中华人民共和国民事诉讼法》第一百七十七条第一款第一项规定，判决如下：</w:t>
      </w:r>
    </w:p>
    <w:p w14:paraId="70F02C43">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驳回上诉，维持原判。</w:t>
      </w:r>
    </w:p>
    <w:p w14:paraId="38A7F17E">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二审案件受理费150元，由上诉人万某道负担50元，上诉人丁某雄负担50元，上诉人丁某国负担50元。</w:t>
      </w:r>
    </w:p>
    <w:p w14:paraId="70B74226">
      <w:pPr>
        <w:keepNext w:val="0"/>
        <w:keepLines w:val="0"/>
        <w:widowControl/>
        <w:suppressLineNumbers w:val="0"/>
        <w:spacing w:before="10" w:beforeAutospacing="0" w:after="10" w:afterAutospacing="0" w:line="500" w:lineRule="atLeast"/>
        <w:ind w:left="0" w:right="0" w:firstLine="600"/>
        <w:jc w:val="left"/>
        <w:rPr>
          <w:rFonts w:hint="eastAsia" w:ascii="SimSun" w:hAnsi="SimSun" w:eastAsia="SimSun" w:cs="SimSun"/>
          <w:sz w:val="30"/>
          <w:szCs w:val="30"/>
        </w:rPr>
      </w:pPr>
      <w:r>
        <w:rPr>
          <w:rFonts w:hint="eastAsia" w:ascii="SimSun" w:hAnsi="SimSun" w:eastAsia="SimSun" w:cs="SimSun"/>
          <w:sz w:val="30"/>
          <w:szCs w:val="30"/>
        </w:rPr>
        <w:t>本判决为终审判决。</w:t>
      </w:r>
    </w:p>
    <w:p w14:paraId="7F60501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长　廖崇霞</w:t>
      </w:r>
    </w:p>
    <w:p w14:paraId="41BFB5F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王传益</w:t>
      </w:r>
    </w:p>
    <w:p w14:paraId="06FC9840">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审 判 员　刘国平</w:t>
      </w:r>
    </w:p>
    <w:p w14:paraId="3F4C9C0D">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二〇二三年七月十一日</w:t>
      </w:r>
    </w:p>
    <w:p w14:paraId="2AA3C183">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法官助理　索翰明</w:t>
      </w:r>
    </w:p>
    <w:p w14:paraId="77B8344A">
      <w:pPr>
        <w:keepNext w:val="0"/>
        <w:keepLines w:val="0"/>
        <w:widowControl/>
        <w:suppressLineNumbers w:val="0"/>
        <w:spacing w:before="10" w:beforeAutospacing="0" w:after="10" w:afterAutospacing="0" w:line="500" w:lineRule="atLeast"/>
        <w:ind w:left="0" w:right="720"/>
        <w:jc w:val="right"/>
        <w:rPr>
          <w:rFonts w:hint="eastAsia" w:ascii="SimSun" w:hAnsi="SimSun" w:eastAsia="SimSun" w:cs="SimSun"/>
          <w:sz w:val="30"/>
          <w:szCs w:val="30"/>
        </w:rPr>
      </w:pPr>
      <w:r>
        <w:rPr>
          <w:rFonts w:hint="eastAsia" w:ascii="SimSun" w:hAnsi="SimSun" w:eastAsia="SimSun" w:cs="SimSun"/>
          <w:sz w:val="30"/>
          <w:szCs w:val="30"/>
        </w:rPr>
        <w:t>书 记 员　陈雪娇</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doNotUseIndentAsNumberingTabStop/>
    <w:useAltKinsokuLineBreakRules/>
    <w:compatSetting w:name="compatibilityMode" w:uri="http://schemas.microsoft.com/office/word" w:val="11"/>
  </w:compat>
  <w:rsids>
    <w:rsidRoot w:val="00000000"/>
    <w:rsid w:val="2D2E1AF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EastAsia" w:hAnsiTheme="minorEastAsia" w:eastAsiaTheme="minorEastAsia" w:cstheme="minorEastAsia"/>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11">
    <w:name w:val="Default Paragraph Font"/>
    <w:semiHidden/>
    <w:qFormat/>
    <w:uiPriority w:val="0"/>
  </w:style>
  <w:style w:type="table" w:default="1" w:styleId="10">
    <w:name w:val="Normal Table"/>
    <w:semiHidden/>
    <w:uiPriority w:val="0"/>
    <w:tblPr>
      <w:tblCellMar>
        <w:top w:w="0" w:type="dxa"/>
        <w:left w:w="108" w:type="dxa"/>
        <w:bottom w:w="0" w:type="dxa"/>
        <w:right w:w="108" w:type="dxa"/>
      </w:tblCellMar>
    </w:tblPr>
  </w:style>
  <w:style w:type="paragraph" w:styleId="8">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116</Pages>
  <TotalTime>0</TotalTime>
  <ScaleCrop>false</ScaleCrop>
  <LinksUpToDate>false</LinksUpToDate>
  <Application>WPS Office_12.1.0.18912_F1E327BC-269C-435d-A152-05C5408002CA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2025-12-30T01:51:18Z</dcterms:created>
  <cp:lastModifiedBy>T490s</cp:lastModifiedBy>
  <dcterms:modified xsi:type="dcterms:W3CDTF">2025-12-30T01:51:18Z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3B7A445225584F71B93B3D3B33798D8F_13</vt:lpwstr>
  </property>
</Properties>
</file>