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A490AA4">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海南省三亚市中级人民法院</w:t>
      </w:r>
    </w:p>
    <w:p w14:paraId="4146B9B5">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民事判决书</w:t>
      </w:r>
    </w:p>
    <w:p w14:paraId="228FE52A">
      <w:pPr>
        <w:keepNext w:val="0"/>
        <w:keepLines w:val="0"/>
        <w:widowControl/>
        <w:suppressLineNumbers w:val="0"/>
        <w:spacing w:before="0" w:beforeAutospacing="0" w:after="0" w:afterAutospacing="0" w:line="500" w:lineRule="atLeast"/>
        <w:ind w:left="0" w:right="0"/>
        <w:jc w:val="right"/>
      </w:pPr>
      <w:r>
        <w:rPr>
          <w:rFonts w:hint="eastAsia" w:ascii="SimSun" w:hAnsi="SimSun" w:eastAsia="SimSun" w:cs="SimSun"/>
          <w:sz w:val="32"/>
          <w:szCs w:val="32"/>
        </w:rPr>
        <w:t>（2024）琼02民终89号</w:t>
      </w:r>
    </w:p>
    <w:p w14:paraId="7AA559AE">
      <w:pPr>
        <w:pStyle w:val="9"/>
        <w:keepNext w:val="0"/>
        <w:keepLines w:val="0"/>
        <w:widowControl/>
        <w:suppressLineNumbers w:val="0"/>
        <w:spacing w:before="0" w:beforeAutospacing="0" w:after="0" w:afterAutospacing="0" w:line="500" w:lineRule="atLeast"/>
        <w:ind w:left="0" w:firstLine="600"/>
        <w:jc w:val="both"/>
      </w:pPr>
      <w:r>
        <w:rPr>
          <w:rFonts w:ascii="FangSong" w:hAnsi="FangSong" w:eastAsia="FangSong" w:cs="FangSong"/>
          <w:sz w:val="32"/>
          <w:szCs w:val="32"/>
        </w:rPr>
        <w:t xml:space="preserve">上诉人（原审被告）：胡某，女，1980年4月7日出生，黎族，公民身份号码XXX，住海南省三亚市天涯区。 </w:t>
      </w:r>
    </w:p>
    <w:p w14:paraId="34CE94E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委托诉讼代理人：关某，广东知泓（三亚）律师事务所律师。 </w:t>
      </w:r>
    </w:p>
    <w:p w14:paraId="47D130FB">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被上诉人（原审原告）：董某，男，1984年11月30日出生，黎族，公民身份号码，住海南省三亚市天涯区。 </w:t>
      </w:r>
    </w:p>
    <w:p w14:paraId="64F8359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委托诉讼代理人：倪某，海南积汇律师事务所律师。 </w:t>
      </w:r>
    </w:p>
    <w:p w14:paraId="505A686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上诉人胡某因与被上诉人董某离婚纠纷一案，不服海南省三亚市城郊人民法院（2023）琼0271民初12588号民事判决，向本院提起上诉。本院立案受理后，依法由审判员独任审理了本案。本案现已审理终结。 </w:t>
      </w:r>
    </w:p>
    <w:p w14:paraId="25316F8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胡某上诉请求：1．请求二审法院依法撤销三亚市城郊人民法院（2023）琼0271民初12588号民事判决，依法改判重新分配胡某与董某的夫妻共同财产，儿子董浩能、小女儿董慧婷由胡某抚养，大女儿董慧星由董某抚养，或将本案发回重审；2．本案诉讼费用由董某承担。事实与理由：一、一审没有仔细审理，错误地认定胡某与董某无共同财产，属于认定事实不清。1．董某在居住地三亚市天涯区黑土村有耕种土地，种植槟榔树若干，一审并未审理土地使用权是否属于董某，而且即使土地使用权并非董某的，地上种植的槟榔树也是董某在夫妻存续期间种植的，属于夫妻共同财产。2．胡某与董某的日常家庭开销是胡某出钱，董某并未将工资收入交给胡某，其工资收入的去向胡某不清楚，一审并未审理董某是否有存款。3．胡某与董某居住的房屋是婚后建造的，胡某的父母也有出钱出力，一审认定房屋是董某父母建造的没有事实依据，也没有审理房屋的报建手续是否在董某的名下。二、一审判决对于胡某子女抚养权的分配不合理，不利于未成年子女成长。一审判决既然已查明胡某与董某于2019年起分居，女儿董慧星、董慧婷随董某生活，儿子董浩能随胡某生活，却在抚养权分配上进行了置换，判令儿子由董某抚养，两个女儿由胡某抚养，更改了2019年以来的抚养现实，不利于三个未成年子女的成长。特别是儿子董浩能只有四岁，一直随胡某生活至今，而且因为董某对胡某经常家暴殴打，导致儿子对其父亲产生了浓重的心理阴影，此种情况下不应将其抚养权分配给董某，否则对其成长极为不利。综上，一审判决认定事实不清，适用法律错误，二审法院应当撤销一审判决，依法改判重新分配胡某与董某的夫妻共同财产和孩子抚养，或将本案发回重审。 </w:t>
      </w:r>
    </w:p>
    <w:p w14:paraId="4B5645C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董某辩称，一、胡某与董某的夫妻感情彻底破裂，双方亦分居5年多，且胡某对一审法院判决离婚予以认可，未针对该项判决事项提出上诉，请求二审维持一审准予离婚的判决。二、胡某并未在一审时提出分割夫妻共同财产的主张，如要分割应当另行起诉，在二审无权提出直接分割，且事实上胡某与董某无夫妻共同财产，一审法院认定事实清楚，判决结果正确。1．董某在三亚市天涯区黑土村并没有土地，种植槟榔树的土地是董某父亲的，并不是胡某与董某的夫妻共同财产。现有的槟榔树10余株虽然是婚后种植，但从始至终都是董某一个人在管理，胡某从未管过。现槟榔树也因无人管理，处于荒废的状态，且没有收益，胡某要求分割没有任何依据。2．胡某称董某的日常家庭开销都是胡某出钱完全是在编造事实。胡某于2019年与董某分居，其在娘家生活至今，董某的日常家庭开销由胡某出钱的说法完全站不住脚，且胡某嗜赌成性，其亦根本无力承担日常家庭开销。另胡某称一审法院并未审理董某是否有存款，但在一审时胡某并未申请法院调取董某的存款记录要求分配，事实上董某的工资收入都用于抚养孩子及日常生活开销，其并没有存款，胡某在二审时请求分配董某的存款没有任何依据。3．胡某与董某居住的房子系董某的父亲董开明于2010年7月用三亚远盛食品储运有限公司支付的补偿款修建的，建造房子的土地也是在1980年分配，此时董某还没有出生，故不是董某的房子。房子在双方结婚登记前（2010年9月29日）就已经建了，更不是胡某与董某的夫妻共同财产，且三亚市天涯区黑土村委会布曲二小组亦出具《证明》，证明房屋的权属归董某父亲董开明所有，在一审中胡某对此证明亦是认可的。胡某上诉称其父母在建房时出钱出力，但未提供任何证据证实这一主张，应当承担举证不能的不利后果。故胡某主张在二审中分割不属于夫妻共同所有的房子没有任何依据。三、关于子女抚养权分配问题，为了未成年子女的健康成长，董某同意维持现状，两个女儿继续由董某抚养，儿子由胡某抚养。但是，董某要说明的是，胡某不让董某去看儿子，这样的做法既剥夺孩子享受父爱的权利，也剥夺了董某探望孩子的权利，因此董某恳请胡某在取得儿子的抚养权后不要恶意剥夺董某探望儿子的权利。综上所述，胡某请求重新分配胡某与董某的夫妻共同财产没有任何事实根据和法律依据，请求二审法院驳回该项上诉请求，董某同意两个女儿继续由董某抚养，儿子由胡某抚养。 </w:t>
      </w:r>
    </w:p>
    <w:p w14:paraId="794EF48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董某向一审法院提出诉讼请求：1．判令董某与胡某离婚；2．判令婚生子女董浩能、董慧婷、董慧星由董某抚养，抚养费由董某自行承担；3．判令本案诉讼费由胡某承担。 </w:t>
      </w:r>
    </w:p>
    <w:p w14:paraId="710AB49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定事实：董某与胡某于2006年认识并确立恋爱关系，此后双方共同生活，于2007年8月l3日生育大女儿董慧星。2010年9月29日，董某与胡某补办结婚登记手续，2012年5月20日生育小女儿董慧婷，2019年10月8日生育儿子董浩能。董某认为双方感情基础薄弱，婚后经常因琐事争吵不休、双方长期分居为由，先后于2021年3月29日、2022年3月14日向一审法院提起诉讼，请求判决准予双方离婚，一审法院两次都判决［案号：（2021）琼0271民初5493号、（2022）琼0271民初4311号］不准予双方离婚。之后，双方仍未能和好，董某遂再次提起诉讼。 </w:t>
      </w:r>
    </w:p>
    <w:p w14:paraId="5222B67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另查，董某与胡某于2019年起分居，女儿董慧星、董慧婷随董某生活，儿子董浩能随胡某生活。董某每月的工资收入为4500元，胡某每月的工资收入为4500元至5000元。董某与胡某结婚后居住在董某父母建造的房屋，双方无共同财产。 </w:t>
      </w:r>
    </w:p>
    <w:p w14:paraId="51D5D469">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一审法院认为，董某与胡某经人民法院判决不准予离婚后，双方又分居满一年，董某再次提起离婚诉讼，表明双方感情确已破裂，准予董某与胡某离婚。 </w:t>
      </w:r>
    </w:p>
    <w:p w14:paraId="560B782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董某与胡某生育三名子女，父母与子女间的关系，不因父母离婚而消除。离婚后，子女无论由父或者母直接抚养，仍是父母双方的子女。离婚后，父母对于子女仍有抚养、教育、保护的权利和义务。离婚后，不直接抚养子女的父或者母，有探望子女的权利，另一方有协助的义务。一审法院根据有利于未成年子女的原则，判决儿子董浩能由董某抚养，女儿董慧星、董慧婷由胡某抚养。董某自行负担儿子董浩能的全部抚养费，胡某自行负担大女儿董慧星的全部抚养费。董某根据其工资收入情况每月支付小女儿董慧婷抚养费1000元，直至董慧婷年满十八周岁止。 </w:t>
      </w:r>
    </w:p>
    <w:p w14:paraId="6A6B859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依照《中华人民共和国民法典》第一千零七十九条、第一千零八十四条、第一千零八十五条、第一千零八十六条、第一千零八十七条，《最高人民法院〈关于适用中华人民共和国民事诉讼法〉的解释》第九十条规定，判决：一、准许董某与胡某离婚。二、董某与胡某婚生儿子董浩能由董某抚养，董某负担董浩能的全部抚养费；大女儿董慧星由胡某抚养，胡某负担董慧星的全部抚养费；小女儿董慧婷由胡某抚养。自2023年11月起，董某每月支付董慧婷抚养费1000元，至董慧婷年满十八周岁止，并于每月的20日前付清当月的抚养费。如果未按判决指定的期间履行给付金钱义务，应当依照《中华人民共和国民事诉讼法》第二百六十条之规定，加倍支付迟延履行期间的债务利息。案件受理费100元（董某已预缴），由董某负担。 </w:t>
      </w:r>
    </w:p>
    <w:p w14:paraId="54ED9A6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审中，胡某提交了以下证据：1．《关于胡某（家庭婚姻）纠纷情况说明》、董某家暴胡某的照片及视频、婚生女董慧星与董某的聊天记录，拟证明一审判决董浩能由董某抚养不利于未成年人成长；2．婚生女董慧星与董某大哥女儿的微信聊天记录、董某叔叔董雷与胡某妹妹胡亚妮微信聊天记录、手机壳照片，拟证明董某在婚姻关系存续期间已与他人举行婚礼；3．董某种植的槟榔树照片，拟证明一审判决中未对全部夫妻共同财产作出分割，存在事实遗漏；4．《家庭暴力告诫书》［三公天（天涯）家暴告字（2023）0009号］，拟证明董某存在家暴行为。 </w:t>
      </w:r>
    </w:p>
    <w:p w14:paraId="25B591A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董某质证意见如下，对证据1的微信聊天记录三性无异议，证明目的不予认可，聊天记录并不能证实董某存在家暴行为，对证据1中其余证据的证明目的不予认可，董某不存在房子大门上锁、不让胡某入住的事实；对证据2中的两份聊天记录真实性无异议，对证明目的及聊天内容的真实性有异议，证据2中的照片不能证明董某有婚外情或有新配偶；对证据3的三性无异议，对证明目的有异议，槟榔树属于枯萎状态，且种植槟榔树的土地系董某父亲所有；对证据4的三性无异议，对证明目的有异议。 </w:t>
      </w:r>
    </w:p>
    <w:p w14:paraId="4873010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董某提交了以下证据：1．《（2022）琼02民终826号民事判决书》、《证明》，拟证明房屋系董某父亲董开明所有，不属于夫妻共同财产；2．董某与婚生女的微信聊天记录、票据，拟证明董某与两个婚生女一直共同生活，关系融洽，孩子的生活费与学费均系董某承担；3．董某与其大哥女儿的聊天记录，拟证明其大哥女儿承认关于董某借钱娶老婆的话是编造的；4．《照片一、二》，拟证明房子大门没有锁，胡某存在故意摆拍，大部分的槟榔树属于枯死状态。 </w:t>
      </w:r>
    </w:p>
    <w:p w14:paraId="591F2E7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胡某质证意见如下，对证据1的真实性无异议，对关联性及证明目的有异议，该判决不能证明房屋是用补偿款修建，且房屋的权属应由不动产登记部门或自然规划管理局出具的材料证明；对证据2的三性无异议，对证明目的有异议，董慧星对董某的许多做法有意见，不能证明双方关系融洽；对证据3的三性及证明目的均有异议；对证据四的三性及证明目的均有异议，照片一只能反映出拍摄照片时房屋并未反映上述所证明的问题，照片二不能显示拍摄的具体时间，不能反映出槟榔树已死亡。 </w:t>
      </w:r>
    </w:p>
    <w:p w14:paraId="4533744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对胡某提交的证据的认证意见为，对证据1-2的真实性予以认可，证明目的不予认可，2份证据均具有片面性，且相关的聊天记录与董某提交的证据相互矛盾，不能形成完整的证据链；对证据3的三性及证明目的均不予认可，单张照片未能反映出槟榔树的种植时间、权属情况等；对证据4的三性及证明目的均予以认可。对董某提交的证据的认证意见为，对证据1的三性及证明目的均予以认可；对证据2-3的真实性予以认可，证明目的不予认可，聊天记录与收据均具有片面性，不能完整呈现待证事实，且聊天记录与胡某提交的证据相互矛盾；对证据4三性及证明目的均不予认可，单张照片不能全面反映待证事实。 </w:t>
      </w:r>
    </w:p>
    <w:p w14:paraId="410FFF2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经审理查明，一审法院查明的事实属实，本院予以确认。 </w:t>
      </w:r>
    </w:p>
    <w:p w14:paraId="19B361B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另查明，一审中胡某自称房屋系由董某父母的赔偿款建造。本院出具的（2022）琼02民终826号民事判决查明董开明与三亚远盛食品储运有限公司于2010年4月18日签订《补偿协议书》，该协议书签订后董开明收到217800元的补偿款，董开明系董某父亲。 </w:t>
      </w:r>
    </w:p>
    <w:p w14:paraId="792E180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二审中董某同意婚生子董浩能由胡某抚养，婚生女董慧星、董慧婷由董某抚养。 </w:t>
      </w:r>
    </w:p>
    <w:p w14:paraId="19AE321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本院认为，本案争议焦点为：1．胡某与董某是否有夫妻共同财产分割；2．婚生子女的抚养权归属应如何处理。围绕焦点问题，分析评判如下： </w:t>
      </w:r>
    </w:p>
    <w:p w14:paraId="467C037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一、胡某与董某是否有夫妻共同财产分割。胡某主张房屋、槟榔树系夫妻共同财产，要求进行分割。 </w:t>
      </w:r>
    </w:p>
    <w:p w14:paraId="001C000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关于房屋是否为夫妻共同财产的问题。一审中胡某自称房屋系由董某父母的赔偿款建造，属于对于己不利的事实的自认，且胡某自认的事实可与本院出具的（2022）琼02民终826号民事判决已查明事实部分相互佐证。故一审法院确定该房屋非董某与胡某的夫妻共同财产，并无不当。 </w:t>
      </w:r>
    </w:p>
    <w:p w14:paraId="1F56801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关于槟榔树是否属于夫妻共同财产的问题。胡某主张在宅基地上的槟榔树系其与董某共同种植，应作为夫妻共同财产进行分割。本案中，董某主张种植槟榔树的宅基地系其父亲所有，胡某亦认可该土地的性质为董某父亲的家庭承包地，故董某并非种植槟榔树宅基地的实际使用权人。因种植槟榔树的土地涉及案外人，且胡某提交的证据亦不足以证明涉案槟榔树系其与董某共同种植，故本院对胡某的主张不予支持。 </w:t>
      </w:r>
    </w:p>
    <w:p w14:paraId="493EC5A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婚生子女的抚养权归属应如何处理。经审查，董某在二审诉讼期间同意儿子董浩能由胡某抚养、女儿董慧星与董慧婷由董某抚养。为了充分保证子女的健康成长，人民法院确定子女抚养权时应当综合考虑多种因素，根据法律的规定、立法的原则和精神，从最有利于未成年子女利益的角度，慎重作出决定。本案中，自2019年起，未满1周岁的董浩能一直随胡某生活，女儿董慧星与董慧婷则随董某生活，从不轻易改变孩子现状、有助于孩子健康成长等方面考虑，综合胡某与董某二人的实际情况，胡某抚养董浩能、董某抚养董慧星与董慧婷较为妥当，能够兼顾物质与精神的双重满足，更有利于子女的健康成长。关于抚养费，董某虽然抚养大女儿董慧星和小女儿董慧婷，但大女儿董慧星2007年8月13日出生，2025年8月13日即满十八周岁，故应由董某自行负担大女儿董慧星和小女儿董慧婷的全部抚养费，胡某自行负担儿子董浩能的抚养费。董某关于对儿子董浩能的探望权主张，因其一审诉讼过程中未提出该项主张，故本院对董某的该项主张不予处理，其可另行主张。 </w:t>
      </w:r>
    </w:p>
    <w:p w14:paraId="092E45A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综上所述，胡某的上诉请求部分成立。依照《中华人民共和国民事诉讼法》第一百七十七条第一款第二项规定，判决如下： </w:t>
      </w:r>
    </w:p>
    <w:p w14:paraId="5112557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一、维持三亚市城郊人民法院（2023）琼0271民初12588号民事判决第一项； </w:t>
      </w:r>
    </w:p>
    <w:p w14:paraId="06070729">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变更三亚市城郊人民法院（2023）琼0271民初12588号民事判决第二项为：董某与胡某婚生儿子董浩能由胡某抚养，胡某负担董浩能的全部抚养费；大女儿董慧星、小女儿董慧婷由董某抚养，董某负担董慧星、董慧婷的全部抚养费。 </w:t>
      </w:r>
    </w:p>
    <w:p w14:paraId="17761E6B">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如果未按本判决指定的期间履行给付金钱义务，应依照《中华人民共和国民事诉讼法》第二百六十四条规定，加倍支付迟延履行期间的债务利息。 </w:t>
      </w:r>
    </w:p>
    <w:p w14:paraId="7916F2E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一审案件受理费100元（董某已预交），由董某负担50元，胡某负担50元。二审案件受理费200元（胡某已预交），由胡某负担100元，由董某负担100元。 </w:t>
      </w:r>
    </w:p>
    <w:p w14:paraId="4C207E22">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本判决为终审判决。 </w:t>
      </w:r>
    </w:p>
    <w:p w14:paraId="74B6074B">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630"/>
          <w:sz w:val="32"/>
          <w:szCs w:val="32"/>
        </w:rPr>
        <w:t>王</w:t>
      </w:r>
      <w:r>
        <w:rPr>
          <w:rFonts w:hint="eastAsia" w:ascii="FangSong" w:hAnsi="FangSong" w:eastAsia="FangSong" w:cs="FangSong"/>
          <w:sz w:val="32"/>
          <w:szCs w:val="32"/>
        </w:rPr>
        <w:t>立</w:t>
      </w:r>
    </w:p>
    <w:p w14:paraId="7CFC037C">
      <w:pPr>
        <w:pStyle w:val="9"/>
        <w:keepNext w:val="0"/>
        <w:keepLines w:val="0"/>
        <w:widowControl/>
        <w:suppressLineNumbers w:val="0"/>
        <w:spacing w:before="0" w:beforeAutospacing="0" w:after="0" w:afterAutospacing="0" w:line="500" w:lineRule="atLeast"/>
        <w:ind w:left="0" w:right="607" w:firstLine="919"/>
        <w:jc w:val="right"/>
      </w:pPr>
      <w:r>
        <w:rPr>
          <w:rFonts w:hint="eastAsia" w:ascii="FangSong" w:hAnsi="FangSong" w:eastAsia="FangSong" w:cs="FangSong"/>
          <w:sz w:val="32"/>
          <w:szCs w:val="32"/>
        </w:rPr>
        <w:t>二〇二四年四月十日</w:t>
      </w:r>
    </w:p>
    <w:p w14:paraId="3CA42BD9">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69"/>
          <w:sz w:val="32"/>
          <w:szCs w:val="32"/>
        </w:rPr>
        <w:t>法官助理</w:t>
      </w:r>
      <w:r>
        <w:rPr>
          <w:rFonts w:hint="eastAsia" w:ascii="FangSong" w:hAnsi="FangSong" w:eastAsia="FangSong" w:cs="FangSong"/>
          <w:sz w:val="32"/>
          <w:szCs w:val="32"/>
        </w:rPr>
        <w:t>    </w:t>
      </w:r>
      <w:r>
        <w:rPr>
          <w:rFonts w:hint="eastAsia" w:ascii="FangSong" w:hAnsi="FangSong" w:eastAsia="FangSong" w:cs="FangSong"/>
          <w:spacing w:val="630"/>
          <w:sz w:val="32"/>
          <w:szCs w:val="32"/>
        </w:rPr>
        <w:t>陈</w:t>
      </w:r>
      <w:r>
        <w:rPr>
          <w:rFonts w:hint="eastAsia" w:ascii="FangSong" w:hAnsi="FangSong" w:eastAsia="FangSong" w:cs="FangSong"/>
          <w:sz w:val="32"/>
          <w:szCs w:val="32"/>
        </w:rPr>
        <w:t>子</w:t>
      </w:r>
    </w:p>
    <w:p w14:paraId="02776201">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书记员</w:t>
      </w:r>
      <w:r>
        <w:rPr>
          <w:rFonts w:hint="eastAsia" w:ascii="FangSong" w:hAnsi="FangSong" w:eastAsia="FangSong" w:cs="FangSong"/>
          <w:sz w:val="32"/>
          <w:szCs w:val="32"/>
        </w:rPr>
        <w:t>    </w:t>
      </w:r>
      <w:r>
        <w:rPr>
          <w:rFonts w:hint="eastAsia" w:ascii="FangSong" w:hAnsi="FangSong" w:eastAsia="FangSong" w:cs="FangSong"/>
          <w:spacing w:val="210"/>
          <w:sz w:val="32"/>
          <w:szCs w:val="32"/>
        </w:rPr>
        <w:t>陈一</w:t>
      </w:r>
      <w:r>
        <w:rPr>
          <w:rFonts w:hint="eastAsia" w:ascii="FangSong" w:hAnsi="FangSong" w:eastAsia="FangSong" w:cs="FangSong"/>
          <w:sz w:val="32"/>
          <w:szCs w:val="32"/>
        </w:rPr>
        <w:t>美</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1AC40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2025-12-30T01:53:42Z</dcterms:created>
  <cp:lastModifiedBy>T490s</cp:lastModifiedBy>
  <dcterms:modified xsi:type="dcterms:W3CDTF">2025-12-30T01:53:42Z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2C4EFD29F72F4047B5B5485483D6DCB3_13</vt:lpwstr>
  </property>
</Properties>
</file>